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3A0" w:rsidRPr="009063A0" w:rsidRDefault="00A03FA0" w:rsidP="00253B52">
      <w:pPr>
        <w:spacing w:before="0" w:beforeAutospacing="0" w:after="0" w:afterAutospacing="0"/>
        <w:ind w:left="0" w:firstLine="0"/>
        <w:jc w:val="right"/>
        <w:rPr>
          <w:sz w:val="22"/>
        </w:rPr>
      </w:pPr>
      <w:r>
        <w:rPr>
          <w:noProof/>
          <w:sz w:val="22"/>
          <w:lang w:val="en-US"/>
        </w:rPr>
        <mc:AlternateContent>
          <mc:Choice Requires="wps">
            <w:drawing>
              <wp:anchor distT="0" distB="0" distL="114300" distR="114300" simplePos="0" relativeHeight="251660288" behindDoc="0" locked="0" layoutInCell="1" allowOverlap="1" wp14:anchorId="3B6877D1" wp14:editId="31C94D97">
                <wp:simplePos x="0" y="0"/>
                <wp:positionH relativeFrom="column">
                  <wp:posOffset>-95615</wp:posOffset>
                </wp:positionH>
                <wp:positionV relativeFrom="paragraph">
                  <wp:posOffset>-62463</wp:posOffset>
                </wp:positionV>
                <wp:extent cx="3303905" cy="368175"/>
                <wp:effectExtent l="0" t="0" r="10795" b="13335"/>
                <wp:wrapNone/>
                <wp:docPr id="7" name="Text Box 7"/>
                <wp:cNvGraphicFramePr/>
                <a:graphic xmlns:a="http://schemas.openxmlformats.org/drawingml/2006/main">
                  <a:graphicData uri="http://schemas.microsoft.com/office/word/2010/wordprocessingShape">
                    <wps:wsp>
                      <wps:cNvSpPr txBox="1"/>
                      <wps:spPr>
                        <a:xfrm>
                          <a:off x="0" y="0"/>
                          <a:ext cx="3303905" cy="368175"/>
                        </a:xfrm>
                        <a:prstGeom prst="roundRect">
                          <a:avLst>
                            <a:gd name="adj" fmla="val 13750"/>
                          </a:avLst>
                        </a:prstGeom>
                        <a:solidFill>
                          <a:srgbClr val="0070C0"/>
                        </a:solid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C76CDD" w:rsidRPr="00F301F6" w:rsidRDefault="00C76CDD" w:rsidP="00253B52">
                            <w:pPr>
                              <w:spacing w:before="0" w:beforeAutospacing="0" w:after="0" w:afterAutospacing="0" w:line="240" w:lineRule="auto"/>
                              <w:ind w:left="0" w:firstLine="0"/>
                              <w:jc w:val="center"/>
                              <w:rPr>
                                <w:rFonts w:ascii="DotumChe" w:eastAsia="DotumChe" w:hAnsi="DotumChe"/>
                                <w:b/>
                                <w:color w:val="FFFFFF" w:themeColor="background1"/>
                              </w:rPr>
                            </w:pPr>
                            <w:proofErr w:type="spellStart"/>
                            <w:r w:rsidRPr="00F301F6">
                              <w:rPr>
                                <w:rFonts w:ascii="DotumChe" w:eastAsia="DotumChe" w:hAnsi="DotumChe"/>
                                <w:b/>
                                <w:bCs/>
                                <w:color w:val="FFFFFF" w:themeColor="background1"/>
                                <w:sz w:val="32"/>
                                <w:szCs w:val="22"/>
                              </w:rPr>
                              <w:t>Zhongguo</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Kuangye</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Daxue</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Xuebao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7" o:spid="_x0000_s1026" style="position:absolute;left:0;text-align:left;margin-left:-7.55pt;margin-top:-4.9pt;width:260.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90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" fillcolor="#0070c0" strokecolor="#0070c0" strokeweight=".5pt">
                <v:textbox>
                  <w:txbxContent>
                    <w:p w:rsidR="00C76CDD" w:rsidRPr="00F301F6" w:rsidRDefault="00C76CDD" w:rsidP="00253B52">
                      <w:pPr>
                        <w:spacing w:before="0" w:beforeAutospacing="0" w:after="0" w:afterAutospacing="0" w:line="240" w:lineRule="auto"/>
                        <w:ind w:left="0" w:firstLine="0"/>
                        <w:jc w:val="center"/>
                        <w:rPr>
                          <w:rFonts w:ascii="DotumChe" w:eastAsia="DotumChe" w:hAnsi="DotumChe"/>
                          <w:b/>
                          <w:color w:val="FFFFFF" w:themeColor="background1"/>
                        </w:rPr>
                      </w:pPr>
                      <w:proofErr w:type="spellStart"/>
                      <w:r w:rsidRPr="00F301F6">
                        <w:rPr>
                          <w:rFonts w:ascii="DotumChe" w:eastAsia="DotumChe" w:hAnsi="DotumChe"/>
                          <w:b/>
                          <w:bCs/>
                          <w:color w:val="FFFFFF" w:themeColor="background1"/>
                          <w:sz w:val="32"/>
                          <w:szCs w:val="22"/>
                        </w:rPr>
                        <w:t>Zhongguo</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Kuangye</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Daxue</w:t>
                      </w:r>
                      <w:proofErr w:type="spellEnd"/>
                      <w:r w:rsidRPr="00F301F6">
                        <w:rPr>
                          <w:rFonts w:ascii="DotumChe" w:eastAsia="DotumChe" w:hAnsi="DotumChe"/>
                          <w:b/>
                          <w:bCs/>
                          <w:color w:val="FFFFFF" w:themeColor="background1"/>
                          <w:sz w:val="32"/>
                          <w:szCs w:val="22"/>
                        </w:rPr>
                        <w:t xml:space="preserve"> </w:t>
                      </w:r>
                      <w:proofErr w:type="spellStart"/>
                      <w:r w:rsidRPr="00F301F6">
                        <w:rPr>
                          <w:rFonts w:ascii="DotumChe" w:eastAsia="DotumChe" w:hAnsi="DotumChe"/>
                          <w:b/>
                          <w:bCs/>
                          <w:color w:val="FFFFFF" w:themeColor="background1"/>
                          <w:sz w:val="32"/>
                          <w:szCs w:val="22"/>
                        </w:rPr>
                        <w:t>Xuebao</w:t>
                      </w:r>
                      <w:proofErr w:type="spellEnd"/>
                    </w:p>
                  </w:txbxContent>
                </v:textbox>
              </v:roundrect>
            </w:pict>
          </mc:Fallback>
        </mc:AlternateContent>
      </w:r>
      <w:r w:rsidR="00995F63">
        <w:rPr>
          <w:rFonts w:ascii="Arial Narrow" w:hAnsi="Arial Narrow"/>
          <w:noProof/>
          <w:sz w:val="22"/>
          <w:szCs w:val="22"/>
          <w:lang w:val="en-US"/>
        </w:rPr>
        <w:drawing>
          <wp:anchor distT="0" distB="0" distL="114300" distR="114300" simplePos="0" relativeHeight="251658240" behindDoc="1" locked="0" layoutInCell="1" allowOverlap="1" wp14:anchorId="54973350" wp14:editId="47985E5A">
            <wp:simplePos x="0" y="0"/>
            <wp:positionH relativeFrom="column">
              <wp:posOffset>-50165</wp:posOffset>
            </wp:positionH>
            <wp:positionV relativeFrom="paragraph">
              <wp:posOffset>-163195</wp:posOffset>
            </wp:positionV>
            <wp:extent cx="821055" cy="758825"/>
            <wp:effectExtent l="0" t="0" r="0" b="3175"/>
            <wp:wrapThrough wrapText="bothSides">
              <wp:wrapPolygon edited="0">
                <wp:start x="0" y="0"/>
                <wp:lineTo x="0" y="21148"/>
                <wp:lineTo x="21049" y="21148"/>
                <wp:lineTo x="2104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KDX Logo FH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1055" cy="758825"/>
                    </a:xfrm>
                    <a:prstGeom prst="rect">
                      <a:avLst/>
                    </a:prstGeom>
                  </pic:spPr>
                </pic:pic>
              </a:graphicData>
            </a:graphic>
            <wp14:sizeRelH relativeFrom="page">
              <wp14:pctWidth>0</wp14:pctWidth>
            </wp14:sizeRelH>
            <wp14:sizeRelV relativeFrom="page">
              <wp14:pctHeight>0</wp14:pctHeight>
            </wp14:sizeRelV>
          </wp:anchor>
        </w:drawing>
      </w:r>
      <w:r w:rsidR="009063A0" w:rsidRPr="009063A0">
        <w:rPr>
          <w:sz w:val="22"/>
        </w:rPr>
        <w:t xml:space="preserve"> </w:t>
      </w:r>
      <w:r w:rsidR="009063A0">
        <w:rPr>
          <w:sz w:val="22"/>
        </w:rPr>
        <w:tab/>
      </w:r>
      <w:r w:rsidR="00C76CDD">
        <w:rPr>
          <w:sz w:val="22"/>
        </w:rPr>
        <w:tab/>
      </w:r>
      <w:r w:rsidR="00410AE7">
        <w:rPr>
          <w:b/>
          <w:sz w:val="20"/>
        </w:rPr>
        <w:t>2025</w:t>
      </w:r>
      <w:r w:rsidR="00C0722D">
        <w:rPr>
          <w:sz w:val="20"/>
        </w:rPr>
        <w:t xml:space="preserve"> | </w:t>
      </w:r>
      <w:proofErr w:type="spellStart"/>
      <w:r w:rsidR="00C0722D">
        <w:rPr>
          <w:sz w:val="20"/>
        </w:rPr>
        <w:t>Vol</w:t>
      </w:r>
      <w:proofErr w:type="spellEnd"/>
      <w:r w:rsidR="00C0722D">
        <w:rPr>
          <w:sz w:val="20"/>
        </w:rPr>
        <w:t xml:space="preserve"> </w:t>
      </w:r>
      <w:r w:rsidR="00410AE7">
        <w:rPr>
          <w:sz w:val="20"/>
        </w:rPr>
        <w:t>30</w:t>
      </w:r>
      <w:r w:rsidR="00C0722D">
        <w:rPr>
          <w:sz w:val="20"/>
        </w:rPr>
        <w:t xml:space="preserve"> | Issue </w:t>
      </w:r>
      <w:r w:rsidR="00410AE7">
        <w:rPr>
          <w:sz w:val="20"/>
        </w:rPr>
        <w:t>1</w:t>
      </w:r>
      <w:r w:rsidR="006A7450">
        <w:rPr>
          <w:sz w:val="20"/>
        </w:rPr>
        <w:t xml:space="preserve"> | Page </w:t>
      </w:r>
      <w:r w:rsidR="00410AE7">
        <w:rPr>
          <w:sz w:val="20"/>
        </w:rPr>
        <w:t>101</w:t>
      </w:r>
      <w:r w:rsidR="006A7450">
        <w:rPr>
          <w:sz w:val="20"/>
        </w:rPr>
        <w:t>-</w:t>
      </w:r>
      <w:r w:rsidR="00410AE7">
        <w:rPr>
          <w:sz w:val="20"/>
        </w:rPr>
        <w:t>107</w:t>
      </w:r>
      <w:bookmarkStart w:id="0" w:name="_GoBack"/>
      <w:bookmarkEnd w:id="0"/>
    </w:p>
    <w:p w:rsidR="00253B52" w:rsidRPr="00253B52" w:rsidRDefault="00253B52" w:rsidP="00253B52">
      <w:pPr>
        <w:spacing w:before="0" w:beforeAutospacing="0" w:after="0" w:afterAutospacing="0" w:line="240" w:lineRule="auto"/>
        <w:ind w:left="0" w:firstLine="0"/>
        <w:jc w:val="right"/>
        <w:rPr>
          <w:sz w:val="20"/>
        </w:rPr>
      </w:pPr>
      <w:r w:rsidRPr="00253B52">
        <w:rPr>
          <w:b/>
          <w:sz w:val="20"/>
        </w:rPr>
        <w:t>Journal Homepage:</w:t>
      </w:r>
      <w:r w:rsidRPr="00253B52">
        <w:rPr>
          <w:sz w:val="20"/>
        </w:rPr>
        <w:t xml:space="preserve"> </w:t>
      </w:r>
      <w:hyperlink r:id="rId10" w:history="1">
        <w:r w:rsidRPr="00253B52">
          <w:rPr>
            <w:rStyle w:val="Hyperlink"/>
            <w:sz w:val="20"/>
            <w:u w:val="none"/>
          </w:rPr>
          <w:t>https://zkdx.ch/</w:t>
        </w:r>
      </w:hyperlink>
    </w:p>
    <w:p w:rsidR="0079695B" w:rsidRPr="00253B52" w:rsidRDefault="009063A0" w:rsidP="00253B52">
      <w:pPr>
        <w:spacing w:before="0" w:beforeAutospacing="0" w:after="0" w:afterAutospacing="0" w:line="240" w:lineRule="auto"/>
        <w:ind w:left="0" w:firstLine="0"/>
        <w:rPr>
          <w:sz w:val="20"/>
        </w:rPr>
      </w:pPr>
      <w:r w:rsidRPr="00253B52">
        <w:rPr>
          <w:rFonts w:ascii="Arial Narrow" w:hAnsi="Arial Narrow"/>
        </w:rPr>
        <w:t xml:space="preserve">Journal of </w:t>
      </w:r>
      <w:r w:rsidRPr="00253B52">
        <w:rPr>
          <w:rFonts w:ascii="Arial Narrow" w:hAnsi="Arial Narrow"/>
          <w:color w:val="000000" w:themeColor="text1"/>
        </w:rPr>
        <w:t>China University of Mining and Technology</w:t>
      </w:r>
      <w:r w:rsidR="00253B52">
        <w:rPr>
          <w:color w:val="000000" w:themeColor="text1"/>
          <w:sz w:val="22"/>
        </w:rPr>
        <w:tab/>
        <w:t xml:space="preserve">         </w:t>
      </w:r>
      <w:r w:rsidR="004B53F8">
        <w:rPr>
          <w:color w:val="000000" w:themeColor="text1"/>
          <w:sz w:val="22"/>
        </w:rPr>
        <w:tab/>
        <w:t xml:space="preserve">       </w:t>
      </w:r>
      <w:r w:rsidR="00F04EEE">
        <w:rPr>
          <w:color w:val="000000" w:themeColor="text1"/>
          <w:sz w:val="22"/>
        </w:rPr>
        <w:tab/>
        <w:t xml:space="preserve">  </w:t>
      </w:r>
      <w:r w:rsidR="004B53F8">
        <w:rPr>
          <w:color w:val="000000" w:themeColor="text1"/>
          <w:sz w:val="22"/>
        </w:rPr>
        <w:t xml:space="preserve"> </w:t>
      </w:r>
      <w:r w:rsidR="00253B52" w:rsidRPr="00253B52">
        <w:rPr>
          <w:b/>
          <w:sz w:val="20"/>
        </w:rPr>
        <w:t>DOI</w:t>
      </w:r>
      <w:r w:rsidR="00253B52" w:rsidRPr="00253B52">
        <w:rPr>
          <w:sz w:val="20"/>
        </w:rPr>
        <w:t xml:space="preserve">: </w:t>
      </w:r>
      <w:r w:rsidR="00410AE7" w:rsidRPr="00410AE7">
        <w:rPr>
          <w:color w:val="0033CC"/>
          <w:sz w:val="20"/>
        </w:rPr>
        <w:t>10.1654/zkdx.2025.30.</w:t>
      </w:r>
      <w:r w:rsidR="00410AE7">
        <w:rPr>
          <w:color w:val="0033CC"/>
          <w:sz w:val="20"/>
        </w:rPr>
        <w:t>1-10</w:t>
      </w:r>
    </w:p>
    <w:p w:rsidR="000105D8" w:rsidRPr="00C76CDD" w:rsidRDefault="00C76CDD" w:rsidP="000105D8">
      <w:pPr>
        <w:spacing w:before="0" w:beforeAutospacing="0" w:after="0" w:afterAutospacing="0" w:line="240" w:lineRule="auto"/>
        <w:ind w:left="0" w:firstLine="0"/>
        <w:jc w:val="right"/>
        <w:rPr>
          <w:sz w:val="22"/>
        </w:rPr>
      </w:pPr>
      <w:r w:rsidRPr="00C76CDD">
        <w:rPr>
          <w:noProof/>
          <w:sz w:val="20"/>
          <w:szCs w:val="22"/>
          <w:lang w:val="en-US"/>
        </w:rPr>
        <w:drawing>
          <wp:anchor distT="0" distB="0" distL="114300" distR="114300" simplePos="0" relativeHeight="251659264" behindDoc="1" locked="0" layoutInCell="1" allowOverlap="1" wp14:anchorId="702F415E" wp14:editId="5FEBB872">
            <wp:simplePos x="0" y="0"/>
            <wp:positionH relativeFrom="column">
              <wp:posOffset>5080635</wp:posOffset>
            </wp:positionH>
            <wp:positionV relativeFrom="paragraph">
              <wp:posOffset>45720</wp:posOffset>
            </wp:positionV>
            <wp:extent cx="878205" cy="307340"/>
            <wp:effectExtent l="0" t="0" r="0" b="0"/>
            <wp:wrapThrough wrapText="bothSides">
              <wp:wrapPolygon edited="0">
                <wp:start x="0" y="0"/>
                <wp:lineTo x="0" y="20083"/>
                <wp:lineTo x="21085" y="20083"/>
                <wp:lineTo x="21085" y="0"/>
                <wp:lineTo x="0" y="0"/>
              </wp:wrapPolygon>
            </wp:wrapThrough>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8205" cy="307340"/>
                    </a:xfrm>
                    <a:prstGeom prst="rect">
                      <a:avLst/>
                    </a:prstGeom>
                  </pic:spPr>
                </pic:pic>
              </a:graphicData>
            </a:graphic>
            <wp14:sizeRelH relativeFrom="page">
              <wp14:pctWidth>0</wp14:pctWidth>
            </wp14:sizeRelH>
            <wp14:sizeRelV relativeFrom="page">
              <wp14:pctHeight>0</wp14:pctHeight>
            </wp14:sizeRelV>
          </wp:anchor>
        </w:drawing>
      </w:r>
    </w:p>
    <w:p w:rsidR="000105D8" w:rsidRPr="009063A0" w:rsidRDefault="000105D8" w:rsidP="000105D8">
      <w:pPr>
        <w:spacing w:before="0" w:beforeAutospacing="0" w:after="0" w:afterAutospacing="0" w:line="240" w:lineRule="auto"/>
        <w:ind w:left="0" w:firstLine="0"/>
        <w:jc w:val="right"/>
        <w:rPr>
          <w:sz w:val="22"/>
        </w:rPr>
      </w:pPr>
    </w:p>
    <w:p w:rsidR="000105D8" w:rsidRPr="009063A0" w:rsidRDefault="000105D8" w:rsidP="000105D8">
      <w:pPr>
        <w:spacing w:before="0" w:beforeAutospacing="0" w:after="0" w:afterAutospacing="0" w:line="240" w:lineRule="auto"/>
        <w:ind w:left="0" w:firstLine="0"/>
        <w:jc w:val="right"/>
        <w:rPr>
          <w:sz w:val="22"/>
        </w:rPr>
      </w:pPr>
    </w:p>
    <w:p w:rsidR="003D2D33" w:rsidRPr="003753ED" w:rsidRDefault="00212B4A" w:rsidP="00C76CDD">
      <w:pPr>
        <w:spacing w:before="0" w:beforeAutospacing="0" w:after="0" w:afterAutospacing="0" w:line="240" w:lineRule="auto"/>
        <w:ind w:left="0" w:firstLine="0"/>
        <w:rPr>
          <w:b/>
          <w:bCs/>
          <w:sz w:val="22"/>
          <w:szCs w:val="22"/>
          <w:lang w:val="en-IN"/>
        </w:rPr>
      </w:pPr>
      <w:r w:rsidRPr="00212B4A">
        <w:rPr>
          <w:b/>
          <w:bCs/>
          <w:sz w:val="36"/>
          <w:szCs w:val="36"/>
          <w:lang w:val="en-US"/>
        </w:rPr>
        <w:t>Administration and Citizen Engagement in Policy Making Process</w:t>
      </w:r>
    </w:p>
    <w:p w:rsidR="002E4B7F" w:rsidRDefault="002E4B7F" w:rsidP="00C76CDD">
      <w:pPr>
        <w:spacing w:before="0" w:beforeAutospacing="0" w:after="0" w:afterAutospacing="0" w:line="240" w:lineRule="auto"/>
        <w:ind w:left="0" w:firstLine="0"/>
        <w:rPr>
          <w:bCs/>
          <w:sz w:val="22"/>
          <w:szCs w:val="22"/>
          <w:lang w:val="en-US"/>
        </w:rPr>
      </w:pPr>
    </w:p>
    <w:p w:rsidR="00212B4A" w:rsidRDefault="00212B4A" w:rsidP="00C76CDD">
      <w:pPr>
        <w:spacing w:before="0" w:beforeAutospacing="0" w:after="0" w:afterAutospacing="0" w:line="240" w:lineRule="auto"/>
        <w:ind w:left="0" w:firstLine="0"/>
        <w:rPr>
          <w:bCs/>
          <w:sz w:val="22"/>
          <w:szCs w:val="22"/>
          <w:lang w:val="en-US"/>
        </w:rPr>
      </w:pPr>
    </w:p>
    <w:p w:rsidR="00212B4A" w:rsidRDefault="00212B4A" w:rsidP="00C76CDD">
      <w:pPr>
        <w:spacing w:before="0" w:beforeAutospacing="0" w:after="0" w:afterAutospacing="0" w:line="240" w:lineRule="auto"/>
        <w:ind w:left="0" w:firstLine="0"/>
        <w:rPr>
          <w:b/>
          <w:bCs/>
          <w:i/>
          <w:sz w:val="22"/>
          <w:szCs w:val="22"/>
          <w:lang w:val="en-US"/>
        </w:rPr>
      </w:pPr>
      <w:proofErr w:type="spellStart"/>
      <w:r w:rsidRPr="00212B4A">
        <w:rPr>
          <w:b/>
          <w:bCs/>
          <w:sz w:val="22"/>
          <w:szCs w:val="22"/>
          <w:lang w:val="en-US"/>
        </w:rPr>
        <w:t>Olatunbosun</w:t>
      </w:r>
      <w:proofErr w:type="spellEnd"/>
      <w:r w:rsidRPr="00212B4A">
        <w:rPr>
          <w:b/>
          <w:bCs/>
          <w:sz w:val="22"/>
          <w:szCs w:val="22"/>
          <w:lang w:val="en-US"/>
        </w:rPr>
        <w:t xml:space="preserve"> Sunday Emmanuel ODUSANYA</w:t>
      </w:r>
      <w:r>
        <w:rPr>
          <w:b/>
          <w:bCs/>
          <w:sz w:val="22"/>
          <w:szCs w:val="22"/>
          <w:lang w:val="en-US"/>
        </w:rPr>
        <w:t>*</w:t>
      </w:r>
    </w:p>
    <w:p w:rsidR="00907D49" w:rsidRPr="00212B4A" w:rsidRDefault="00212B4A" w:rsidP="00212B4A">
      <w:pPr>
        <w:spacing w:before="0" w:beforeAutospacing="0" w:after="0" w:afterAutospacing="0" w:line="240" w:lineRule="auto"/>
        <w:ind w:left="0" w:firstLine="0"/>
        <w:rPr>
          <w:bCs/>
          <w:i/>
          <w:sz w:val="22"/>
          <w:szCs w:val="22"/>
          <w:lang w:val="en-US"/>
        </w:rPr>
      </w:pPr>
      <w:r w:rsidRPr="00212B4A">
        <w:rPr>
          <w:bCs/>
          <w:i/>
          <w:sz w:val="22"/>
          <w:szCs w:val="22"/>
          <w:lang w:val="en-US"/>
        </w:rPr>
        <w:t xml:space="preserve">Department of Politics and administration, </w:t>
      </w:r>
      <w:proofErr w:type="spellStart"/>
      <w:r w:rsidRPr="00212B4A">
        <w:rPr>
          <w:bCs/>
          <w:i/>
          <w:sz w:val="22"/>
          <w:szCs w:val="22"/>
          <w:lang w:val="en-US"/>
        </w:rPr>
        <w:t>eUniversity</w:t>
      </w:r>
      <w:proofErr w:type="spellEnd"/>
      <w:r w:rsidRPr="00212B4A">
        <w:rPr>
          <w:bCs/>
          <w:i/>
          <w:sz w:val="22"/>
          <w:szCs w:val="22"/>
          <w:lang w:val="en-US"/>
        </w:rPr>
        <w:t xml:space="preserve"> Africa </w:t>
      </w:r>
      <w:proofErr w:type="spellStart"/>
      <w:r w:rsidRPr="00212B4A">
        <w:rPr>
          <w:bCs/>
          <w:i/>
          <w:sz w:val="22"/>
          <w:szCs w:val="22"/>
          <w:lang w:val="en-US"/>
        </w:rPr>
        <w:t>Oshodi</w:t>
      </w:r>
      <w:proofErr w:type="spellEnd"/>
      <w:r w:rsidRPr="00212B4A">
        <w:rPr>
          <w:bCs/>
          <w:i/>
          <w:sz w:val="22"/>
          <w:szCs w:val="22"/>
          <w:lang w:val="en-US"/>
        </w:rPr>
        <w:t>, Lagos State, Nigeria</w:t>
      </w:r>
    </w:p>
    <w:p w:rsidR="00212B4A" w:rsidRPr="00907D49" w:rsidRDefault="00212B4A" w:rsidP="00212B4A">
      <w:pPr>
        <w:spacing w:before="0" w:beforeAutospacing="0" w:after="0" w:afterAutospacing="0" w:line="240" w:lineRule="auto"/>
        <w:ind w:left="0" w:firstLine="0"/>
        <w:rPr>
          <w:bCs/>
          <w:noProof/>
          <w:sz w:val="18"/>
          <w:szCs w:val="22"/>
          <w:lang w:eastAsia="en-IN"/>
        </w:rPr>
      </w:pPr>
      <w:r w:rsidRPr="009063A0">
        <w:rPr>
          <w:bCs/>
          <w:noProof/>
          <w:sz w:val="18"/>
          <w:szCs w:val="22"/>
          <w:lang w:val="en-IN" w:eastAsia="en-IN"/>
        </w:rPr>
        <w:t>*</w:t>
      </w:r>
      <w:r w:rsidRPr="009063A0">
        <w:rPr>
          <w:bCs/>
          <w:noProof/>
          <w:color w:val="0070C0"/>
          <w:sz w:val="18"/>
          <w:szCs w:val="22"/>
          <w:lang w:val="en-IN" w:eastAsia="en-IN"/>
        </w:rPr>
        <w:t>Corresponding author</w:t>
      </w:r>
    </w:p>
    <w:p w:rsidR="00212B4A" w:rsidRPr="00536673" w:rsidRDefault="00212B4A" w:rsidP="00907D49">
      <w:pPr>
        <w:spacing w:before="0" w:beforeAutospacing="0" w:after="0" w:afterAutospacing="0" w:line="240" w:lineRule="auto"/>
        <w:ind w:left="0" w:firstLine="0"/>
        <w:rPr>
          <w:b/>
          <w:bCs/>
          <w:sz w:val="16"/>
          <w:szCs w:val="16"/>
          <w:lang w:val="en-US"/>
        </w:rPr>
      </w:pPr>
    </w:p>
    <w:p w:rsidR="00536673" w:rsidRDefault="00536673" w:rsidP="00907D49">
      <w:pPr>
        <w:spacing w:before="0" w:beforeAutospacing="0" w:after="0" w:afterAutospacing="0" w:line="240" w:lineRule="auto"/>
        <w:ind w:left="0" w:firstLine="0"/>
        <w:rPr>
          <w:b/>
          <w:bCs/>
          <w:sz w:val="22"/>
          <w:szCs w:val="22"/>
        </w:rPr>
      </w:pPr>
      <w:proofErr w:type="spellStart"/>
      <w:r w:rsidRPr="00536673">
        <w:rPr>
          <w:b/>
          <w:bCs/>
          <w:sz w:val="22"/>
          <w:szCs w:val="22"/>
        </w:rPr>
        <w:t>Alani</w:t>
      </w:r>
      <w:proofErr w:type="spellEnd"/>
      <w:r w:rsidRPr="00536673">
        <w:rPr>
          <w:b/>
          <w:bCs/>
          <w:sz w:val="22"/>
          <w:szCs w:val="22"/>
        </w:rPr>
        <w:t xml:space="preserve"> </w:t>
      </w:r>
      <w:proofErr w:type="spellStart"/>
      <w:r w:rsidRPr="00536673">
        <w:rPr>
          <w:b/>
          <w:bCs/>
          <w:sz w:val="22"/>
          <w:szCs w:val="22"/>
        </w:rPr>
        <w:t>Olusegun</w:t>
      </w:r>
      <w:proofErr w:type="spellEnd"/>
      <w:r w:rsidRPr="00536673">
        <w:rPr>
          <w:b/>
          <w:bCs/>
          <w:sz w:val="22"/>
          <w:szCs w:val="22"/>
        </w:rPr>
        <w:t xml:space="preserve"> </w:t>
      </w:r>
      <w:proofErr w:type="spellStart"/>
      <w:r w:rsidRPr="00536673">
        <w:rPr>
          <w:b/>
          <w:bCs/>
          <w:sz w:val="22"/>
          <w:szCs w:val="22"/>
        </w:rPr>
        <w:t>Efuntade</w:t>
      </w:r>
      <w:proofErr w:type="spellEnd"/>
    </w:p>
    <w:p w:rsidR="00536673" w:rsidRPr="00536673" w:rsidRDefault="00536673" w:rsidP="00907D49">
      <w:pPr>
        <w:spacing w:before="0" w:beforeAutospacing="0" w:after="0" w:afterAutospacing="0" w:line="240" w:lineRule="auto"/>
        <w:ind w:left="0" w:firstLine="0"/>
        <w:rPr>
          <w:bCs/>
          <w:i/>
          <w:sz w:val="22"/>
          <w:szCs w:val="22"/>
          <w:lang w:val="en-US"/>
        </w:rPr>
      </w:pPr>
      <w:r w:rsidRPr="00536673">
        <w:rPr>
          <w:bCs/>
          <w:i/>
          <w:sz w:val="22"/>
          <w:szCs w:val="22"/>
        </w:rPr>
        <w:t xml:space="preserve">Department of Bursary, Federal University, </w:t>
      </w:r>
      <w:proofErr w:type="spellStart"/>
      <w:r w:rsidRPr="00536673">
        <w:rPr>
          <w:bCs/>
          <w:i/>
          <w:sz w:val="22"/>
          <w:szCs w:val="22"/>
        </w:rPr>
        <w:t>Oye</w:t>
      </w:r>
      <w:proofErr w:type="spellEnd"/>
      <w:r w:rsidRPr="00536673">
        <w:rPr>
          <w:bCs/>
          <w:i/>
          <w:sz w:val="22"/>
          <w:szCs w:val="22"/>
        </w:rPr>
        <w:t xml:space="preserve"> </w:t>
      </w:r>
      <w:proofErr w:type="spellStart"/>
      <w:r w:rsidRPr="00536673">
        <w:rPr>
          <w:bCs/>
          <w:i/>
          <w:sz w:val="22"/>
          <w:szCs w:val="22"/>
        </w:rPr>
        <w:t>Ekiti</w:t>
      </w:r>
      <w:proofErr w:type="spellEnd"/>
      <w:r w:rsidRPr="00536673">
        <w:rPr>
          <w:bCs/>
          <w:i/>
          <w:sz w:val="22"/>
          <w:szCs w:val="22"/>
        </w:rPr>
        <w:t>, Elite State,</w:t>
      </w:r>
      <w:r w:rsidRPr="00536673">
        <w:rPr>
          <w:bCs/>
          <w:i/>
          <w:sz w:val="22"/>
          <w:szCs w:val="22"/>
          <w:lang w:val="en-US"/>
        </w:rPr>
        <w:t xml:space="preserve"> Nigeria</w:t>
      </w:r>
    </w:p>
    <w:p w:rsidR="002B6723" w:rsidRPr="00740E68" w:rsidRDefault="002B6723" w:rsidP="003753ED">
      <w:pPr>
        <w:spacing w:before="0" w:beforeAutospacing="0" w:after="0" w:afterAutospacing="0" w:line="240" w:lineRule="auto"/>
        <w:ind w:left="0" w:firstLine="0"/>
        <w:jc w:val="both"/>
        <w:rPr>
          <w:b/>
          <w:bCs/>
          <w:sz w:val="22"/>
          <w:szCs w:val="22"/>
          <w:lang w:val="en-IN"/>
        </w:rPr>
      </w:pPr>
    </w:p>
    <w:p w:rsidR="00907D49" w:rsidRDefault="00907D49" w:rsidP="003753ED">
      <w:pPr>
        <w:spacing w:before="0" w:beforeAutospacing="0" w:after="0" w:afterAutospacing="0" w:line="240" w:lineRule="auto"/>
        <w:ind w:left="0" w:firstLine="0"/>
        <w:jc w:val="both"/>
        <w:rPr>
          <w:b/>
          <w:bCs/>
          <w:sz w:val="22"/>
          <w:szCs w:val="22"/>
          <w:lang w:val="en-IN"/>
        </w:rPr>
      </w:pPr>
    </w:p>
    <w:p w:rsidR="00DB2693" w:rsidRPr="00260E59" w:rsidRDefault="00260E59" w:rsidP="003753ED">
      <w:pPr>
        <w:spacing w:before="0" w:beforeAutospacing="0" w:after="0" w:afterAutospacing="0" w:line="240" w:lineRule="auto"/>
        <w:ind w:left="0" w:firstLine="0"/>
        <w:jc w:val="both"/>
        <w:rPr>
          <w:b/>
          <w:bCs/>
          <w:szCs w:val="22"/>
          <w:lang w:val="en-IN"/>
        </w:rPr>
      </w:pPr>
      <w:r w:rsidRPr="00260E59">
        <w:rPr>
          <w:b/>
          <w:bCs/>
          <w:szCs w:val="22"/>
          <w:lang w:val="en-IN"/>
        </w:rPr>
        <w:t>Abstract</w:t>
      </w:r>
    </w:p>
    <w:p w:rsidR="00287BEA" w:rsidRDefault="00212B4A" w:rsidP="003753ED">
      <w:pPr>
        <w:spacing w:before="0" w:beforeAutospacing="0" w:after="0" w:afterAutospacing="0" w:line="240" w:lineRule="auto"/>
        <w:ind w:left="0" w:firstLine="0"/>
        <w:jc w:val="both"/>
        <w:rPr>
          <w:sz w:val="22"/>
          <w:szCs w:val="22"/>
          <w:lang w:val="en-US"/>
        </w:rPr>
      </w:pPr>
      <w:r w:rsidRPr="00212B4A">
        <w:rPr>
          <w:sz w:val="22"/>
          <w:szCs w:val="22"/>
          <w:lang w:val="en-US"/>
        </w:rPr>
        <w:t>For policies to be efficient democratic and responsive to the needs of the public the administration of the policy-making process and citizen participation are essential. The stages of policy administration—agenda-setting formulation decision-making implementation and evaluation—are examined in this review which also emphasizes the advantages of citizen participation at each stage. Through promoting accountability transparency and inclusivity citizen engagement improves policy outcomes and builds public confidence. Opportunities for participation have been further expanded by digital transformation which has made it possible for real-time feedback and increased accessibility. Effective citizen engagement mechanisms like public consultations participatory budgeting and e-governance platforms show the transformative potential of a collaborative policy-making process despite obstacles like unequal access socioeconomic barriers and political resistance. In order to strengthen governance frameworks that effectively and inclusively address community needs this abstract emphasizes the importance of administrative coordination and meaningful public involvement while promoting ongoing innovation and evaluation.</w:t>
      </w:r>
    </w:p>
    <w:p w:rsidR="00212B4A" w:rsidRPr="00DF031F" w:rsidRDefault="00212B4A" w:rsidP="003753ED">
      <w:pPr>
        <w:spacing w:before="0" w:beforeAutospacing="0" w:after="0" w:afterAutospacing="0" w:line="240" w:lineRule="auto"/>
        <w:ind w:left="0" w:firstLine="0"/>
        <w:jc w:val="both"/>
        <w:rPr>
          <w:sz w:val="16"/>
          <w:szCs w:val="16"/>
        </w:rPr>
      </w:pPr>
    </w:p>
    <w:p w:rsidR="00CD64B7" w:rsidRDefault="00DB2693" w:rsidP="003D2D33">
      <w:pPr>
        <w:spacing w:before="0" w:beforeAutospacing="0" w:after="0" w:afterAutospacing="0" w:line="240" w:lineRule="auto"/>
        <w:ind w:left="0" w:firstLine="0"/>
        <w:jc w:val="both"/>
        <w:rPr>
          <w:b/>
          <w:bCs/>
          <w:szCs w:val="22"/>
          <w:lang w:val="en-IN"/>
        </w:rPr>
      </w:pPr>
      <w:r w:rsidRPr="00260E59">
        <w:rPr>
          <w:b/>
          <w:bCs/>
          <w:szCs w:val="22"/>
          <w:lang w:val="en-IN"/>
        </w:rPr>
        <w:t>Keywords</w:t>
      </w:r>
    </w:p>
    <w:p w:rsidR="00212B4A" w:rsidRPr="00DF031F" w:rsidRDefault="00DF031F" w:rsidP="00866C1C">
      <w:pPr>
        <w:spacing w:before="0" w:beforeAutospacing="0" w:after="0" w:afterAutospacing="0" w:line="240" w:lineRule="auto"/>
        <w:ind w:left="0" w:firstLine="0"/>
        <w:jc w:val="both"/>
        <w:rPr>
          <w:sz w:val="22"/>
          <w:szCs w:val="22"/>
        </w:rPr>
      </w:pPr>
      <w:r w:rsidRPr="00DF031F">
        <w:rPr>
          <w:sz w:val="22"/>
          <w:szCs w:val="22"/>
        </w:rPr>
        <w:t xml:space="preserve">Policy Administration, Policy Making Process, </w:t>
      </w:r>
      <w:r w:rsidRPr="00DF031F">
        <w:rPr>
          <w:color w:val="000000" w:themeColor="text1"/>
          <w:sz w:val="22"/>
          <w:szCs w:val="22"/>
        </w:rPr>
        <w:t>Policy Implementation, Citizen Engagement</w:t>
      </w:r>
    </w:p>
    <w:p w:rsidR="00212B4A" w:rsidRDefault="00212B4A" w:rsidP="00866C1C">
      <w:pPr>
        <w:spacing w:before="0" w:beforeAutospacing="0" w:after="0" w:afterAutospacing="0" w:line="240" w:lineRule="auto"/>
        <w:ind w:left="0" w:firstLine="0"/>
        <w:jc w:val="both"/>
        <w:rPr>
          <w:sz w:val="22"/>
          <w:szCs w:val="22"/>
        </w:rPr>
      </w:pPr>
    </w:p>
    <w:p w:rsidR="00DF031F" w:rsidRDefault="00DF031F" w:rsidP="00866C1C">
      <w:pPr>
        <w:spacing w:before="0" w:beforeAutospacing="0" w:after="0" w:afterAutospacing="0" w:line="240" w:lineRule="auto"/>
        <w:ind w:left="0" w:firstLine="0"/>
        <w:jc w:val="both"/>
        <w:rPr>
          <w:sz w:val="22"/>
          <w:szCs w:val="22"/>
        </w:rPr>
      </w:pPr>
    </w:p>
    <w:p w:rsidR="00212B4A" w:rsidRDefault="00212B4A" w:rsidP="00212B4A">
      <w:pPr>
        <w:pStyle w:val="NormalWeb"/>
        <w:spacing w:before="0" w:beforeAutospacing="0" w:after="0" w:afterAutospacing="0"/>
        <w:jc w:val="both"/>
        <w:rPr>
          <w:b/>
          <w:color w:val="000000" w:themeColor="text1"/>
        </w:rPr>
      </w:pPr>
      <w:r>
        <w:rPr>
          <w:b/>
          <w:color w:val="000000" w:themeColor="text1"/>
        </w:rPr>
        <w:t>1. Policy</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To accomplish particular objectives and solve societal problems governments and organizations create policies which are strategic plans and directives. Public policy social policy economic policy environmental policy and educational policy are a few examples of policy types. Dye (2013) presents the idea of public policy highlighting analysis frameworks and the various policy types and processes involved. According to Kraft and Furlong (2020) public policy is the politics analysis and alternatives. Using examples from a range of policy domains the study offers insight into the different stages and approaches of policy-making. Adoption implementation agenda-setting and formulation are all steps in the process of creating and implementing effective policies. Coordination amongst stakeholders is necessary for implementation which frequently encounters difficulties because of social political and financial limitations. According to Sabatier &amp; </w:t>
      </w:r>
      <w:proofErr w:type="spellStart"/>
      <w:r w:rsidRPr="00212B4A">
        <w:rPr>
          <w:color w:val="000000" w:themeColor="text1"/>
          <w:sz w:val="22"/>
          <w:szCs w:val="22"/>
        </w:rPr>
        <w:t>Weible</w:t>
      </w:r>
      <w:proofErr w:type="spellEnd"/>
      <w:r w:rsidRPr="00212B4A">
        <w:rPr>
          <w:color w:val="000000" w:themeColor="text1"/>
          <w:sz w:val="22"/>
          <w:szCs w:val="22"/>
        </w:rPr>
        <w:t xml:space="preserve"> (2014) the policy process is what informs policy-making taking into account the influence of political systems and the role of stakeholders.</w:t>
      </w:r>
    </w:p>
    <w:p w:rsidR="00212B4A" w:rsidRPr="00212B4A" w:rsidRDefault="00212B4A" w:rsidP="00212B4A">
      <w:pPr>
        <w:pStyle w:val="NormalWeb"/>
        <w:spacing w:before="0" w:beforeAutospacing="0" w:after="0" w:afterAutospacing="0"/>
        <w:rPr>
          <w:b/>
          <w:color w:val="000000" w:themeColor="text1"/>
          <w:sz w:val="22"/>
          <w:szCs w:val="22"/>
        </w:rPr>
      </w:pPr>
    </w:p>
    <w:p w:rsidR="00212B4A" w:rsidRPr="00212B4A" w:rsidRDefault="00212B4A" w:rsidP="00212B4A">
      <w:pPr>
        <w:pStyle w:val="NormalWeb"/>
        <w:spacing w:before="0" w:beforeAutospacing="0" w:after="0" w:afterAutospacing="0"/>
        <w:rPr>
          <w:b/>
          <w:color w:val="000000" w:themeColor="text1"/>
          <w:szCs w:val="22"/>
        </w:rPr>
      </w:pPr>
      <w:r w:rsidRPr="00212B4A">
        <w:rPr>
          <w:b/>
          <w:color w:val="000000" w:themeColor="text1"/>
          <w:szCs w:val="22"/>
        </w:rPr>
        <w:t xml:space="preserve">2. Policy Administration </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Planning developing implementing and assessing policies are all included in policy administration which emphasizes coordinating administrative procedures to guarantee successful and efficient policy results. This field addresses implementation challenges that frequently call for stakeholder engagement and cross-</w:t>
      </w:r>
      <w:proofErr w:type="spellStart"/>
      <w:r w:rsidRPr="00212B4A">
        <w:rPr>
          <w:color w:val="000000" w:themeColor="text1"/>
          <w:sz w:val="22"/>
          <w:szCs w:val="22"/>
        </w:rPr>
        <w:t>sectoral</w:t>
      </w:r>
      <w:proofErr w:type="spellEnd"/>
      <w:r w:rsidRPr="00212B4A">
        <w:rPr>
          <w:color w:val="000000" w:themeColor="text1"/>
          <w:sz w:val="22"/>
          <w:szCs w:val="22"/>
        </w:rPr>
        <w:t xml:space="preserve"> collaboration bridging the gap between public administration and policy analysis. An outline of important policy administration topics is provided below backed up by current references. The first steps in policy administration are need analysis goal-setting and policy solution design. Evidence-based procedures stakeholder needs and flexibility in response to changing circumstances are all integrated into effective policy design</w:t>
      </w:r>
      <w:r w:rsidR="00410AE7">
        <w:rPr>
          <w:color w:val="000000" w:themeColor="text1"/>
          <w:sz w:val="22"/>
          <w:szCs w:val="22"/>
        </w:rPr>
        <w:t xml:space="preserve">. In 2021 </w:t>
      </w:r>
      <w:proofErr w:type="spellStart"/>
      <w:r w:rsidR="00410AE7">
        <w:rPr>
          <w:color w:val="000000" w:themeColor="text1"/>
          <w:sz w:val="22"/>
          <w:szCs w:val="22"/>
        </w:rPr>
        <w:t>Howlett</w:t>
      </w:r>
      <w:proofErr w:type="spellEnd"/>
      <w:r w:rsidR="00410AE7">
        <w:rPr>
          <w:color w:val="000000" w:themeColor="text1"/>
          <w:sz w:val="22"/>
          <w:szCs w:val="22"/>
        </w:rPr>
        <w:t xml:space="preserve"> and Mukherjee</w:t>
      </w:r>
      <w:r w:rsidRPr="00212B4A">
        <w:rPr>
          <w:color w:val="000000" w:themeColor="text1"/>
          <w:sz w:val="22"/>
          <w:szCs w:val="22"/>
        </w:rPr>
        <w:t xml:space="preserve"> focuses on choosing the right policy instruments to handle complicated societal issues and offers insights into the principles of policy design. </w:t>
      </w:r>
      <w:proofErr w:type="spellStart"/>
      <w:proofErr w:type="gramStart"/>
      <w:r w:rsidRPr="00212B4A">
        <w:rPr>
          <w:color w:val="000000" w:themeColor="text1"/>
          <w:sz w:val="22"/>
          <w:szCs w:val="22"/>
        </w:rPr>
        <w:t>Heikkila</w:t>
      </w:r>
      <w:proofErr w:type="spellEnd"/>
      <w:r w:rsidRPr="00212B4A">
        <w:rPr>
          <w:color w:val="000000" w:themeColor="text1"/>
          <w:sz w:val="22"/>
          <w:szCs w:val="22"/>
        </w:rPr>
        <w:t xml:space="preserve"> and </w:t>
      </w:r>
      <w:proofErr w:type="spellStart"/>
      <w:r w:rsidRPr="00212B4A">
        <w:rPr>
          <w:color w:val="000000" w:themeColor="text1"/>
          <w:sz w:val="22"/>
          <w:szCs w:val="22"/>
        </w:rPr>
        <w:t>Cairney</w:t>
      </w:r>
      <w:proofErr w:type="spellEnd"/>
      <w:r w:rsidRPr="00212B4A">
        <w:rPr>
          <w:color w:val="000000" w:themeColor="text1"/>
          <w:sz w:val="22"/>
          <w:szCs w:val="22"/>
        </w:rPr>
        <w:t xml:space="preserve"> (2022)</w:t>
      </w:r>
      <w:r w:rsidR="00410AE7">
        <w:rPr>
          <w:color w:val="000000" w:themeColor="text1"/>
          <w:sz w:val="22"/>
          <w:szCs w:val="22"/>
        </w:rPr>
        <w:t>.</w:t>
      </w:r>
      <w:proofErr w:type="gramEnd"/>
      <w:r w:rsidRPr="00212B4A">
        <w:rPr>
          <w:color w:val="000000" w:themeColor="text1"/>
          <w:sz w:val="22"/>
          <w:szCs w:val="22"/>
        </w:rPr>
        <w:t xml:space="preserve"> </w:t>
      </w:r>
      <w:r w:rsidR="00DF031F" w:rsidRPr="00212B4A">
        <w:rPr>
          <w:color w:val="000000" w:themeColor="text1"/>
          <w:sz w:val="22"/>
          <w:szCs w:val="22"/>
        </w:rPr>
        <w:t>Highlights</w:t>
      </w:r>
      <w:r w:rsidRPr="00212B4A">
        <w:rPr>
          <w:color w:val="000000" w:themeColor="text1"/>
          <w:sz w:val="22"/>
          <w:szCs w:val="22"/>
        </w:rPr>
        <w:t xml:space="preserve"> an interdisciplinary approach using real-world case studies to show how careful policy design affects efficient administration. A complex process that requires coordination between multiple actors and governmental levels is policy implementation. For implementation to be successful administrative systems must be </w:t>
      </w:r>
      <w:proofErr w:type="gramStart"/>
      <w:r w:rsidRPr="00212B4A">
        <w:rPr>
          <w:color w:val="000000" w:themeColor="text1"/>
          <w:sz w:val="22"/>
          <w:szCs w:val="22"/>
        </w:rPr>
        <w:t>open</w:t>
      </w:r>
      <w:proofErr w:type="gramEnd"/>
      <w:r w:rsidRPr="00212B4A">
        <w:rPr>
          <w:color w:val="000000" w:themeColor="text1"/>
          <w:sz w:val="22"/>
          <w:szCs w:val="22"/>
        </w:rPr>
        <w:t xml:space="preserve"> accountable and adaptable enough to deal with unforeseen difficulties. In the study Implementing Public Policy common pitfalls and </w:t>
      </w:r>
      <w:r w:rsidRPr="00212B4A">
        <w:rPr>
          <w:color w:val="000000" w:themeColor="text1"/>
          <w:sz w:val="22"/>
          <w:szCs w:val="22"/>
        </w:rPr>
        <w:lastRenderedPageBreak/>
        <w:t>tactics for accomplishing policy objectives are examined through real-world policy implementation exampl</w:t>
      </w:r>
      <w:r w:rsidR="00536673">
        <w:rPr>
          <w:color w:val="000000" w:themeColor="text1"/>
          <w:sz w:val="22"/>
          <w:szCs w:val="22"/>
        </w:rPr>
        <w:t xml:space="preserve">es. In 2022 Sabatier and </w:t>
      </w:r>
      <w:proofErr w:type="spellStart"/>
      <w:r w:rsidR="00536673">
        <w:rPr>
          <w:color w:val="000000" w:themeColor="text1"/>
          <w:sz w:val="22"/>
          <w:szCs w:val="22"/>
        </w:rPr>
        <w:t>Weible</w:t>
      </w:r>
      <w:proofErr w:type="spellEnd"/>
      <w:r w:rsidR="00536673">
        <w:rPr>
          <w:color w:val="000000" w:themeColor="text1"/>
          <w:sz w:val="22"/>
          <w:szCs w:val="22"/>
        </w:rPr>
        <w:t>, t</w:t>
      </w:r>
      <w:r w:rsidRPr="00212B4A">
        <w:rPr>
          <w:color w:val="000000" w:themeColor="text1"/>
          <w:sz w:val="22"/>
          <w:szCs w:val="22"/>
        </w:rPr>
        <w:t>he frameworks for comprehending the policy-making process were presented along with implementation issues and strategies for guaranteeing administrative congruence with policy goals.</w:t>
      </w:r>
    </w:p>
    <w:p w:rsidR="00212B4A" w:rsidRPr="00212B4A" w:rsidRDefault="00212B4A" w:rsidP="00212B4A">
      <w:pPr>
        <w:pStyle w:val="NoSpacing"/>
      </w:pPr>
    </w:p>
    <w:p w:rsidR="00212B4A" w:rsidRPr="00212B4A" w:rsidRDefault="00212B4A" w:rsidP="00212B4A">
      <w:pPr>
        <w:pStyle w:val="NormalWeb"/>
        <w:spacing w:before="0" w:beforeAutospacing="0" w:after="0" w:afterAutospacing="0"/>
        <w:rPr>
          <w:b/>
          <w:color w:val="000000" w:themeColor="text1"/>
          <w:szCs w:val="22"/>
        </w:rPr>
      </w:pPr>
      <w:r w:rsidRPr="00212B4A">
        <w:rPr>
          <w:b/>
          <w:color w:val="000000" w:themeColor="text1"/>
          <w:szCs w:val="22"/>
        </w:rPr>
        <w:t xml:space="preserve">3. Citizen Engagement </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Governments actively involve citizens in the process of making decisions creating policies and providing public services. This is known as citizen engagement. In order to advance accountability transparency and democratic governance it is essential. In order to empower citizens and promote inclusive governance citizen engagement has expanded beyond traditional public participation to include digital platforms and community-based strategies. The term citizen engagement describes how people participate in public decision-making. Simple information </w:t>
      </w:r>
      <w:proofErr w:type="gramStart"/>
      <w:r w:rsidRPr="00212B4A">
        <w:rPr>
          <w:color w:val="000000" w:themeColor="text1"/>
          <w:sz w:val="22"/>
          <w:szCs w:val="22"/>
        </w:rPr>
        <w:t>exchange to active citizen participation in the creation of policies are</w:t>
      </w:r>
      <w:proofErr w:type="gramEnd"/>
      <w:r w:rsidRPr="00212B4A">
        <w:rPr>
          <w:color w:val="000000" w:themeColor="text1"/>
          <w:sz w:val="22"/>
          <w:szCs w:val="22"/>
        </w:rPr>
        <w:t xml:space="preserve"> both possible. From tokenism to true citizen power </w:t>
      </w:r>
      <w:proofErr w:type="spellStart"/>
      <w:r w:rsidRPr="00212B4A">
        <w:rPr>
          <w:color w:val="000000" w:themeColor="text1"/>
          <w:sz w:val="22"/>
          <w:szCs w:val="22"/>
        </w:rPr>
        <w:t>Arnstein</w:t>
      </w:r>
      <w:proofErr w:type="spellEnd"/>
      <w:r w:rsidRPr="00212B4A">
        <w:rPr>
          <w:color w:val="000000" w:themeColor="text1"/>
          <w:sz w:val="22"/>
          <w:szCs w:val="22"/>
        </w:rPr>
        <w:t xml:space="preserve"> (1969) outlines the various levels of citizen engagement providing a basis for comprehending the depth of engagement. The concepts and methods of contemporary citizen engagement are examined by </w:t>
      </w:r>
      <w:proofErr w:type="spellStart"/>
      <w:r w:rsidRPr="00212B4A">
        <w:rPr>
          <w:color w:val="000000" w:themeColor="text1"/>
          <w:sz w:val="22"/>
          <w:szCs w:val="22"/>
        </w:rPr>
        <w:t>Nabatchi</w:t>
      </w:r>
      <w:proofErr w:type="spellEnd"/>
      <w:r w:rsidRPr="00212B4A">
        <w:rPr>
          <w:color w:val="000000" w:themeColor="text1"/>
          <w:sz w:val="22"/>
          <w:szCs w:val="22"/>
        </w:rPr>
        <w:t xml:space="preserve"> and </w:t>
      </w:r>
      <w:proofErr w:type="spellStart"/>
      <w:r w:rsidRPr="00212B4A">
        <w:rPr>
          <w:color w:val="000000" w:themeColor="text1"/>
          <w:sz w:val="22"/>
          <w:szCs w:val="22"/>
        </w:rPr>
        <w:t>Leighninger</w:t>
      </w:r>
      <w:proofErr w:type="spellEnd"/>
      <w:r w:rsidRPr="00212B4A">
        <w:rPr>
          <w:color w:val="000000" w:themeColor="text1"/>
          <w:sz w:val="22"/>
          <w:szCs w:val="22"/>
        </w:rPr>
        <w:t xml:space="preserve"> (2015) who provide frameworks for encouraging inclusive and successful participation in democratic processes. By ensuring that policies represent the needs of the public citizen engagement improves the relevance and efficacy of policies. </w:t>
      </w:r>
    </w:p>
    <w:p w:rsidR="00212B4A" w:rsidRPr="00212B4A" w:rsidRDefault="00212B4A" w:rsidP="00212B4A">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Additionally, it makes people more confident in government agencies. Putnam (2000) emphasizes how social capital is developed through citizen engagement which strengthens communities and improves responsive governance. Fung A. (2020) offers proof that public participation especially locally enhances policy results and fortifies democratic procedures. E-governance platforms and digital tools have revolutionized citizen engagement by facilitating citizen participation and government feedback collection. Examples of digital tools that can facilitate inclusive real-time participation include social media online forums and e-</w:t>
      </w:r>
      <w:r>
        <w:rPr>
          <w:color w:val="000000" w:themeColor="text1"/>
          <w:sz w:val="22"/>
          <w:szCs w:val="22"/>
        </w:rPr>
        <w:t xml:space="preserve">petition systems. (2013) </w:t>
      </w:r>
      <w:proofErr w:type="spellStart"/>
      <w:r>
        <w:rPr>
          <w:color w:val="000000" w:themeColor="text1"/>
          <w:sz w:val="22"/>
          <w:szCs w:val="22"/>
        </w:rPr>
        <w:t>Mergel</w:t>
      </w:r>
      <w:proofErr w:type="spellEnd"/>
      <w:r w:rsidRPr="00212B4A">
        <w:rPr>
          <w:color w:val="000000" w:themeColor="text1"/>
          <w:sz w:val="22"/>
          <w:szCs w:val="22"/>
        </w:rPr>
        <w:t xml:space="preserve"> investigates the ways in which social media promotes accountability transparency and citizen involvement in the public sector. </w:t>
      </w:r>
      <w:proofErr w:type="gramStart"/>
      <w:r w:rsidRPr="00212B4A">
        <w:rPr>
          <w:color w:val="000000" w:themeColor="text1"/>
          <w:sz w:val="22"/>
          <w:szCs w:val="22"/>
        </w:rPr>
        <w:t xml:space="preserve">Meijer A. </w:t>
      </w:r>
      <w:proofErr w:type="spellStart"/>
      <w:r w:rsidRPr="00212B4A">
        <w:rPr>
          <w:color w:val="000000" w:themeColor="text1"/>
          <w:sz w:val="22"/>
          <w:szCs w:val="22"/>
        </w:rPr>
        <w:t>Pieterson</w:t>
      </w:r>
      <w:proofErr w:type="spellEnd"/>
      <w:r w:rsidRPr="00212B4A">
        <w:rPr>
          <w:color w:val="000000" w:themeColor="text1"/>
          <w:sz w:val="22"/>
          <w:szCs w:val="22"/>
        </w:rPr>
        <w:t xml:space="preserve"> and </w:t>
      </w:r>
      <w:proofErr w:type="spellStart"/>
      <w:r w:rsidRPr="00212B4A">
        <w:rPr>
          <w:color w:val="000000" w:themeColor="text1"/>
          <w:sz w:val="22"/>
          <w:szCs w:val="22"/>
        </w:rPr>
        <w:t>Koops</w:t>
      </w:r>
      <w:proofErr w:type="spellEnd"/>
      <w:r w:rsidRPr="00212B4A">
        <w:rPr>
          <w:color w:val="000000" w:themeColor="text1"/>
          <w:sz w:val="22"/>
          <w:szCs w:val="22"/>
        </w:rPr>
        <w:t xml:space="preserve"> 2022.</w:t>
      </w:r>
      <w:proofErr w:type="gramEnd"/>
      <w:r w:rsidRPr="00212B4A">
        <w:rPr>
          <w:color w:val="000000" w:themeColor="text1"/>
          <w:sz w:val="22"/>
          <w:szCs w:val="22"/>
        </w:rPr>
        <w:t xml:space="preserve"> </w:t>
      </w:r>
      <w:proofErr w:type="gramStart"/>
      <w:r w:rsidRPr="00212B4A">
        <w:rPr>
          <w:color w:val="000000" w:themeColor="text1"/>
          <w:sz w:val="22"/>
          <w:szCs w:val="22"/>
        </w:rPr>
        <w:t>examines</w:t>
      </w:r>
      <w:proofErr w:type="gramEnd"/>
      <w:r w:rsidRPr="00212B4A">
        <w:rPr>
          <w:color w:val="000000" w:themeColor="text1"/>
          <w:sz w:val="22"/>
          <w:szCs w:val="22"/>
        </w:rPr>
        <w:t xml:space="preserve"> the potential of digital tools to encourage public participation highlighting the advantages and disadvantages of e-governance through case studies. Digital divides political resistance and socioeconomic disparities are obstacles to effective citizen engagement. Barriers like apathy among some groups and limited access to digital platforms must frequently be addressed in order to ensure equitable participation. </w:t>
      </w:r>
    </w:p>
    <w:p w:rsidR="00212B4A" w:rsidRPr="00212B4A" w:rsidRDefault="00212B4A" w:rsidP="00212B4A">
      <w:pPr>
        <w:pStyle w:val="NoSpacing"/>
      </w:pPr>
    </w:p>
    <w:p w:rsidR="00212B4A" w:rsidRPr="00212B4A" w:rsidRDefault="00212B4A" w:rsidP="00212B4A">
      <w:pPr>
        <w:pStyle w:val="NormalWeb"/>
        <w:spacing w:before="0" w:beforeAutospacing="0" w:after="0" w:afterAutospacing="0"/>
        <w:rPr>
          <w:b/>
          <w:color w:val="000000" w:themeColor="text1"/>
          <w:szCs w:val="22"/>
        </w:rPr>
      </w:pPr>
      <w:r w:rsidRPr="00212B4A">
        <w:rPr>
          <w:b/>
          <w:color w:val="000000" w:themeColor="text1"/>
          <w:szCs w:val="22"/>
        </w:rPr>
        <w:t>4. Administration of Policy Making Process</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In order to successfully address societal needs the administration of the policy-making process entails organizing overseeing and carrying out policy decisions at different stages. Agenda-setting policy creation decision-making execution and assessment are all parts of this intricate process. Policies that are properly designed implemented monitored and modified as necessary are guaranteed by effective administration. Finding and ranking the societal problems that need government action is the first step in the policy-making process. Setting the agenda entails identifying these concerns and selecting which ones’ warrant consideration frequently under the influence of political pressure public opinion or emerging crises. Understanding how issues make it onto the policy agenda is aided by </w:t>
      </w:r>
      <w:proofErr w:type="spellStart"/>
      <w:r w:rsidRPr="00212B4A">
        <w:rPr>
          <w:color w:val="000000" w:themeColor="text1"/>
          <w:sz w:val="22"/>
          <w:szCs w:val="22"/>
        </w:rPr>
        <w:t>Kingdons</w:t>
      </w:r>
      <w:proofErr w:type="spellEnd"/>
      <w:r w:rsidRPr="00212B4A">
        <w:rPr>
          <w:color w:val="000000" w:themeColor="text1"/>
          <w:sz w:val="22"/>
          <w:szCs w:val="22"/>
        </w:rPr>
        <w:t xml:space="preserve"> multiple streams framework which highlights the importance of public opinion political will and policy windows in agenda-setting.</w:t>
      </w:r>
    </w:p>
    <w:p w:rsidR="00212B4A" w:rsidRPr="00212B4A" w:rsidRDefault="00212B4A" w:rsidP="00212B4A">
      <w:pPr>
        <w:pStyle w:val="NormalWeb"/>
        <w:spacing w:before="0" w:beforeAutospacing="0" w:after="0" w:afterAutospacing="0"/>
        <w:rPr>
          <w:b/>
          <w:color w:val="000000" w:themeColor="text1"/>
          <w:sz w:val="22"/>
          <w:szCs w:val="22"/>
        </w:rPr>
      </w:pPr>
    </w:p>
    <w:p w:rsidR="00212B4A" w:rsidRPr="00212B4A" w:rsidRDefault="00212B4A" w:rsidP="00212B4A">
      <w:pPr>
        <w:pStyle w:val="NormalWeb"/>
        <w:spacing w:before="0" w:beforeAutospacing="0" w:after="0" w:afterAutospacing="0"/>
        <w:rPr>
          <w:b/>
          <w:color w:val="000000" w:themeColor="text1"/>
          <w:szCs w:val="22"/>
        </w:rPr>
      </w:pPr>
      <w:r w:rsidRPr="00212B4A">
        <w:rPr>
          <w:b/>
          <w:color w:val="000000" w:themeColor="text1"/>
          <w:szCs w:val="22"/>
        </w:rPr>
        <w:t>5. Citizen Engagement in Policy Making Process</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To create policies that represent the needs and goals of the public promote transparency and strengthen democratic governance citizen participation in the policy-making process is crucial. Involving citizens promotes a more responsive inclusive and knowledgeable policy environment where a range of viewpoints help make well-rounded decisions. Inclusion accountability and transparency in policymaking are all enhanced by citizen engagement. When citizens get involved they help create policies that address pressing problems and are more pertinent. </w:t>
      </w:r>
      <w:proofErr w:type="spellStart"/>
      <w:proofErr w:type="gramStart"/>
      <w:r w:rsidRPr="00212B4A">
        <w:rPr>
          <w:color w:val="000000" w:themeColor="text1"/>
          <w:sz w:val="22"/>
          <w:szCs w:val="22"/>
        </w:rPr>
        <w:t>Leighninger</w:t>
      </w:r>
      <w:proofErr w:type="spellEnd"/>
      <w:r w:rsidRPr="00212B4A">
        <w:rPr>
          <w:color w:val="000000" w:themeColor="text1"/>
          <w:sz w:val="22"/>
          <w:szCs w:val="22"/>
        </w:rPr>
        <w:t xml:space="preserve"> M. and </w:t>
      </w:r>
      <w:proofErr w:type="spellStart"/>
      <w:r w:rsidRPr="00212B4A">
        <w:rPr>
          <w:color w:val="000000" w:themeColor="text1"/>
          <w:sz w:val="22"/>
          <w:szCs w:val="22"/>
        </w:rPr>
        <w:t>Nabatchi</w:t>
      </w:r>
      <w:proofErr w:type="spellEnd"/>
      <w:r w:rsidRPr="00212B4A">
        <w:rPr>
          <w:color w:val="000000" w:themeColor="text1"/>
          <w:sz w:val="22"/>
          <w:szCs w:val="22"/>
        </w:rPr>
        <w:t xml:space="preserve"> (2015).</w:t>
      </w:r>
      <w:proofErr w:type="gramEnd"/>
      <w:r w:rsidRPr="00212B4A">
        <w:rPr>
          <w:color w:val="000000" w:themeColor="text1"/>
          <w:sz w:val="22"/>
          <w:szCs w:val="22"/>
        </w:rPr>
        <w:t xml:space="preserve"> </w:t>
      </w:r>
      <w:proofErr w:type="gramStart"/>
      <w:r w:rsidRPr="00212B4A">
        <w:rPr>
          <w:color w:val="000000" w:themeColor="text1"/>
          <w:sz w:val="22"/>
          <w:szCs w:val="22"/>
        </w:rPr>
        <w:t>Highlights the advantages of involving citizens in democratic processes and policymaking while examining the fundamentals of public participation.</w:t>
      </w:r>
      <w:proofErr w:type="gramEnd"/>
      <w:r w:rsidRPr="00212B4A">
        <w:rPr>
          <w:color w:val="000000" w:themeColor="text1"/>
          <w:sz w:val="22"/>
          <w:szCs w:val="22"/>
        </w:rPr>
        <w:t xml:space="preserve"> The importance of direct citizen participation in urban policy-making is covered by Fung (2020) who shows how inclusive procedures improve community cohesion and governance. Town hall meetings digital platforms participatory budgeting and public consultations are just a few of the ways that governments involve the public in the formulation of public policy. Public trust in government institutions is increased and policies that better meet community needs are the result of effective citizen engagement. Additionally, it enables governments to utilize local expertise and knowledge.</w:t>
      </w:r>
    </w:p>
    <w:p w:rsidR="00212B4A" w:rsidRPr="00212B4A" w:rsidRDefault="00212B4A" w:rsidP="00212B4A">
      <w:pPr>
        <w:pStyle w:val="NormalWeb"/>
        <w:spacing w:before="0" w:beforeAutospacing="0" w:after="0" w:afterAutospacing="0"/>
        <w:jc w:val="both"/>
        <w:rPr>
          <w:b/>
          <w:color w:val="000000" w:themeColor="text1"/>
          <w:sz w:val="22"/>
          <w:szCs w:val="22"/>
        </w:rPr>
      </w:pPr>
    </w:p>
    <w:p w:rsidR="00212B4A" w:rsidRPr="00212B4A" w:rsidRDefault="00212B4A" w:rsidP="00212B4A">
      <w:pPr>
        <w:pStyle w:val="NormalWeb"/>
        <w:spacing w:before="0" w:beforeAutospacing="0" w:after="0" w:afterAutospacing="0"/>
        <w:jc w:val="both"/>
        <w:rPr>
          <w:b/>
          <w:color w:val="000000" w:themeColor="text1"/>
          <w:szCs w:val="22"/>
        </w:rPr>
      </w:pPr>
      <w:r w:rsidRPr="00212B4A">
        <w:rPr>
          <w:b/>
          <w:color w:val="000000" w:themeColor="text1"/>
          <w:szCs w:val="22"/>
        </w:rPr>
        <w:t>6. The Stages of Policy Administration</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The steps of policy administration serve as a roadmap for the methodical development application and assessment of policies in order to successfully meet societal demands. Include Agenda Setting: This first stage entails determining which social issues need government attention and ranking them. Public opinion advocacy organizations political pressures and emerging crises all have an impact on it. By determining which issues should be on the policy agenda policymakers lay the groundwork for future research. Policy options are created examined and discussed during the policy formulation phase. When evaluating potential solutions to a problem policymakers take into account factors like impact political acceptability cost-effectiveness and feasibility. Evidence thorough research and stakeholder input are all necessary for effective formulation. The process of choosing the optimal course of action from a range of options is </w:t>
      </w:r>
      <w:r w:rsidRPr="00212B4A">
        <w:rPr>
          <w:color w:val="000000" w:themeColor="text1"/>
          <w:sz w:val="22"/>
          <w:szCs w:val="22"/>
        </w:rPr>
        <w:lastRenderedPageBreak/>
        <w:t xml:space="preserve">known as decision-making. This step frequently entails stakeholder negotiations juggling conflicting interests and abiding by political priorities and legal frameworks (Burke 2019). </w:t>
      </w:r>
    </w:p>
    <w:p w:rsidR="00212B4A" w:rsidRPr="00212B4A" w:rsidRDefault="00212B4A" w:rsidP="00212B4A">
      <w:pPr>
        <w:pStyle w:val="NormalWeb"/>
        <w:spacing w:before="0" w:beforeAutospacing="0" w:after="0" w:afterAutospacing="0"/>
        <w:jc w:val="both"/>
        <w:rPr>
          <w:color w:val="000000" w:themeColor="text1"/>
          <w:sz w:val="16"/>
          <w:szCs w:val="16"/>
        </w:rPr>
      </w:pPr>
    </w:p>
    <w:p w:rsidR="00212B4A" w:rsidRPr="00212B4A" w:rsidRDefault="00212B4A" w:rsidP="00212B4A">
      <w:pPr>
        <w:pStyle w:val="NormalWeb"/>
        <w:spacing w:before="0" w:beforeAutospacing="0" w:after="0" w:afterAutospacing="0"/>
        <w:jc w:val="both"/>
        <w:rPr>
          <w:b/>
          <w:color w:val="000000" w:themeColor="text1"/>
          <w:sz w:val="22"/>
          <w:szCs w:val="22"/>
        </w:rPr>
      </w:pPr>
      <w:r w:rsidRPr="00212B4A">
        <w:rPr>
          <w:b/>
          <w:color w:val="000000" w:themeColor="text1"/>
          <w:sz w:val="22"/>
          <w:szCs w:val="22"/>
        </w:rPr>
        <w:t>6.1 Implementation of Policies</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After a policy is selected it needs to be implemented. Coordination of administrative agencies resource allocation and the development of particular rules or processes are all part of implementation. Clear communication accountability systems and flexible management to deal with unforeseen obstacles are necessary for successful implementation. Policy Evaluation: Policy evaluation determines how well a policy accomplishes its objectives. This phase entails gathering information assessing results and getting input from interested parties. Evaluation aids in determining what functions well what requires development and whether the policy should be maintained modified or discontinued. Policy Modification or Termination: Depending on the findings of an evaluation a policy may be changed to better accomplish its goals or if ineffective may be discontinued completely. Changes guarantee that the policy stays applicable and efficient while adjusting to new data or evolving conditions. In order to develop policies that are effective responsive and flexible enough to meet the changing needs of society each step of the policy administration process is essential. They work together to create a cycle of continuous improvement whereby assessment results in agenda-setting to deal with fresh or persistent problems (Lab 2016). </w:t>
      </w:r>
    </w:p>
    <w:p w:rsidR="00212B4A" w:rsidRPr="00212B4A" w:rsidRDefault="00212B4A" w:rsidP="00212B4A">
      <w:pPr>
        <w:pStyle w:val="NoSpacing"/>
        <w:rPr>
          <w:sz w:val="16"/>
          <w:szCs w:val="16"/>
        </w:rPr>
      </w:pPr>
    </w:p>
    <w:p w:rsidR="00212B4A" w:rsidRPr="00212B4A" w:rsidRDefault="00212B4A" w:rsidP="00212B4A">
      <w:pPr>
        <w:pStyle w:val="NormalWeb"/>
        <w:spacing w:before="0" w:beforeAutospacing="0" w:after="0" w:afterAutospacing="0"/>
        <w:jc w:val="both"/>
        <w:rPr>
          <w:b/>
          <w:color w:val="000000" w:themeColor="text1"/>
          <w:sz w:val="22"/>
          <w:szCs w:val="22"/>
        </w:rPr>
      </w:pPr>
      <w:r>
        <w:rPr>
          <w:b/>
          <w:color w:val="000000" w:themeColor="text1"/>
          <w:sz w:val="22"/>
          <w:szCs w:val="22"/>
        </w:rPr>
        <w:t xml:space="preserve">6.2 </w:t>
      </w:r>
      <w:r w:rsidRPr="00212B4A">
        <w:rPr>
          <w:b/>
          <w:color w:val="000000" w:themeColor="text1"/>
          <w:sz w:val="22"/>
          <w:szCs w:val="22"/>
        </w:rPr>
        <w:t>Formulation of Decision-Making</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Research illustrates the continued applicability of rational models in decision-making where a methodical approach—establishing goals obtaining data and weighing options—is stressed for optimizing results. Recent criticism however indicates that these models might not be adaptable in dynamic real-world scenarios (Jones et al. 2023). Current studies examine the effects of cognitive biases and emotional influences pointing out how they frequently skew decisions away from purely rational outcomes (Carter and Brown 2023 for example). This is particularly relevant in complex settings where people use heuristics to make snap decisions and bounded rationality is common. Transparency and acceptance of decisions have been demonstrated to rise with the adoption of participatory models where stakeholders work together to formulate decisions especially in public policy settings (Gonzalez and Li 2022). This strategy is well-liked in organizations that strive for democratic governance since it can improve the decisions long-term viability. With data-driven insights that increase decision accuracy and speed the use of AI and big data in decision-making has grown in popularity. Williams et al. claim that. . . (2022) artificial intelligence (AI)-enhanced tools are becoming essential in business and policy-making settings supporting risk assessment and intricate scenario analysis. The significance of ethics in decision-making frameworks is highlighted by recent discussions especially in sectors like healthcare and finance that have significant social impacts. According to Martin and Suzuki (2023) applying moral principles guarantees that choices are consistent with larger social norms. These observations provide a thorough understanding of decision-making formulation highlighting both established and novel strategies. </w:t>
      </w:r>
    </w:p>
    <w:p w:rsidR="00212B4A" w:rsidRPr="00DF031F" w:rsidRDefault="00212B4A" w:rsidP="00212B4A">
      <w:pPr>
        <w:pStyle w:val="NormalWeb"/>
        <w:spacing w:before="0" w:beforeAutospacing="0" w:after="0" w:afterAutospacing="0"/>
        <w:jc w:val="both"/>
        <w:rPr>
          <w:b/>
          <w:color w:val="000000" w:themeColor="text1"/>
          <w:sz w:val="16"/>
          <w:szCs w:val="16"/>
        </w:rPr>
      </w:pPr>
    </w:p>
    <w:p w:rsidR="00212B4A" w:rsidRPr="00212B4A" w:rsidRDefault="00212B4A" w:rsidP="00212B4A">
      <w:pPr>
        <w:pStyle w:val="NormalWeb"/>
        <w:spacing w:before="0" w:beforeAutospacing="0" w:after="0" w:afterAutospacing="0"/>
        <w:jc w:val="both"/>
        <w:rPr>
          <w:b/>
          <w:color w:val="000000" w:themeColor="text1"/>
          <w:sz w:val="22"/>
          <w:szCs w:val="22"/>
        </w:rPr>
      </w:pPr>
      <w:r>
        <w:rPr>
          <w:b/>
          <w:color w:val="000000" w:themeColor="text1"/>
          <w:sz w:val="22"/>
          <w:szCs w:val="22"/>
        </w:rPr>
        <w:t xml:space="preserve">6.3 </w:t>
      </w:r>
      <w:r w:rsidRPr="00212B4A">
        <w:rPr>
          <w:b/>
          <w:color w:val="000000" w:themeColor="text1"/>
          <w:sz w:val="22"/>
          <w:szCs w:val="22"/>
        </w:rPr>
        <w:t xml:space="preserve">Transparency, Inclusivity and Accountability </w:t>
      </w:r>
      <w:r w:rsidR="00DF031F" w:rsidRPr="00212B4A">
        <w:rPr>
          <w:b/>
          <w:color w:val="000000" w:themeColor="text1"/>
          <w:sz w:val="22"/>
          <w:szCs w:val="22"/>
        </w:rPr>
        <w:t>in</w:t>
      </w:r>
      <w:r w:rsidRPr="00212B4A">
        <w:rPr>
          <w:b/>
          <w:color w:val="000000" w:themeColor="text1"/>
          <w:sz w:val="22"/>
          <w:szCs w:val="22"/>
        </w:rPr>
        <w:t xml:space="preserve"> Policy Implementation </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More and more people are realizing that transparency is essential to the successful execution of policies. Stakeholders can hold decision-makers accountable and it promotes public trust. The importance of open data initiatives in increasing transparency—which enables citizens to monitor government actions and results—is highlighted by recent studies like Schnell and </w:t>
      </w:r>
      <w:proofErr w:type="spellStart"/>
      <w:r w:rsidRPr="00212B4A">
        <w:rPr>
          <w:color w:val="000000" w:themeColor="text1"/>
          <w:sz w:val="22"/>
          <w:szCs w:val="22"/>
        </w:rPr>
        <w:t>Khanna</w:t>
      </w:r>
      <w:proofErr w:type="spellEnd"/>
      <w:r w:rsidRPr="00212B4A">
        <w:rPr>
          <w:color w:val="000000" w:themeColor="text1"/>
          <w:sz w:val="22"/>
          <w:szCs w:val="22"/>
        </w:rPr>
        <w:t xml:space="preserve"> (2023). They contend that increased service delivery and adherence to policies can result from transparency. Participating in the policymaking process with a wide variety of stakeholders including underrepresented groups is a key component of inclusivity. </w:t>
      </w:r>
      <w:proofErr w:type="spellStart"/>
      <w:r w:rsidRPr="00212B4A">
        <w:rPr>
          <w:color w:val="000000" w:themeColor="text1"/>
          <w:sz w:val="22"/>
          <w:szCs w:val="22"/>
        </w:rPr>
        <w:t>Moghalu</w:t>
      </w:r>
      <w:proofErr w:type="spellEnd"/>
      <w:r w:rsidRPr="00212B4A">
        <w:rPr>
          <w:color w:val="000000" w:themeColor="text1"/>
          <w:sz w:val="22"/>
          <w:szCs w:val="22"/>
        </w:rPr>
        <w:t xml:space="preserve"> et al. (2022) emphasizes that inclusive practices guarantee that a range of viewpoints are taken into account which results in more thorough solutions in addition to enhancing the legitimacy of policies. The study emphasizes how crucial inclusive policymaking is to resolving structural injustices and promoting social cohesion. Mechanisms for accountability guarantee that decision-makers are held responsible for their actions. </w:t>
      </w:r>
    </w:p>
    <w:p w:rsidR="00212B4A" w:rsidRPr="00212B4A" w:rsidRDefault="00212B4A" w:rsidP="00DF031F">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 xml:space="preserve">Johnson and Lee (2023) talk about how strong accountability frameworks can enhance policy results like independent audits and citizen feedback systems. Their results imply that improved resource management and heightened public trust in government result from enabling citizens to take part in oversight. For policies to be implemented effectively transparency inclusivity and accountability must be interconnected. </w:t>
      </w:r>
      <w:proofErr w:type="gramStart"/>
      <w:r w:rsidRPr="00212B4A">
        <w:rPr>
          <w:color w:val="000000" w:themeColor="text1"/>
          <w:sz w:val="22"/>
          <w:szCs w:val="22"/>
        </w:rPr>
        <w:t>Davies and associates.</w:t>
      </w:r>
      <w:proofErr w:type="gramEnd"/>
      <w:r w:rsidRPr="00212B4A">
        <w:rPr>
          <w:color w:val="000000" w:themeColor="text1"/>
          <w:sz w:val="22"/>
          <w:szCs w:val="22"/>
        </w:rPr>
        <w:t xml:space="preserve"> By allowing information to be examined transparency improves accountability (2022) and inclusivity makes sure that a range of opinions are heard during the decision-making process. According to their research strengthening democratic governance requires a comprehensive strategy that incorporates all three components. Several governance frameworks demonstrate how these ideas are used in practice. For example, Khan et al. Case studies from a number of nations that effectively enacted laws focusing on accountability transparency and inclusivity are presented in (2023) leading to better governance results. They draw attention to best practices that are replicable in various settings. The aforementioned highlights how crucial accountability transparency and inclusivity are to the execution of policies and shows how these components support efficient governance and improved public outcomes. </w:t>
      </w:r>
    </w:p>
    <w:p w:rsidR="00212B4A" w:rsidRPr="00DF031F" w:rsidRDefault="00212B4A" w:rsidP="00212B4A">
      <w:pPr>
        <w:pStyle w:val="NoSpacing"/>
        <w:rPr>
          <w:sz w:val="16"/>
          <w:szCs w:val="16"/>
        </w:rPr>
      </w:pPr>
    </w:p>
    <w:p w:rsidR="00212B4A" w:rsidRPr="00212B4A" w:rsidRDefault="00DF031F" w:rsidP="00212B4A">
      <w:pPr>
        <w:pStyle w:val="NormalWeb"/>
        <w:spacing w:before="0" w:beforeAutospacing="0" w:after="0" w:afterAutospacing="0"/>
        <w:jc w:val="both"/>
        <w:rPr>
          <w:b/>
          <w:color w:val="000000" w:themeColor="text1"/>
          <w:sz w:val="22"/>
          <w:szCs w:val="22"/>
        </w:rPr>
      </w:pPr>
      <w:r>
        <w:rPr>
          <w:b/>
          <w:color w:val="000000" w:themeColor="text1"/>
          <w:sz w:val="22"/>
          <w:szCs w:val="22"/>
        </w:rPr>
        <w:t xml:space="preserve">6.4 </w:t>
      </w:r>
      <w:r w:rsidR="00212B4A" w:rsidRPr="00212B4A">
        <w:rPr>
          <w:b/>
          <w:color w:val="000000" w:themeColor="text1"/>
          <w:sz w:val="22"/>
          <w:szCs w:val="22"/>
        </w:rPr>
        <w:t xml:space="preserve">Implementation </w:t>
      </w:r>
      <w:r w:rsidRPr="00212B4A">
        <w:rPr>
          <w:b/>
          <w:color w:val="000000" w:themeColor="text1"/>
          <w:sz w:val="22"/>
          <w:szCs w:val="22"/>
        </w:rPr>
        <w:t xml:space="preserve">and </w:t>
      </w:r>
      <w:r w:rsidR="00212B4A" w:rsidRPr="00212B4A">
        <w:rPr>
          <w:b/>
          <w:color w:val="000000" w:themeColor="text1"/>
          <w:sz w:val="22"/>
          <w:szCs w:val="22"/>
        </w:rPr>
        <w:t xml:space="preserve">Evaluation </w:t>
      </w:r>
      <w:r w:rsidRPr="00212B4A">
        <w:rPr>
          <w:b/>
          <w:color w:val="000000" w:themeColor="text1"/>
          <w:sz w:val="22"/>
          <w:szCs w:val="22"/>
        </w:rPr>
        <w:t xml:space="preserve">of </w:t>
      </w:r>
      <w:r w:rsidR="00212B4A" w:rsidRPr="00212B4A">
        <w:rPr>
          <w:b/>
          <w:color w:val="000000" w:themeColor="text1"/>
          <w:sz w:val="22"/>
          <w:szCs w:val="22"/>
        </w:rPr>
        <w:t>Policy Implementation</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There are usually multiple steps involved in implementing a policy such as planning carrying out and assessing it. Effective implementation necessitates coordinating institutional frameworks stakeholder engagement and resources </w:t>
      </w:r>
      <w:r w:rsidRPr="00212B4A">
        <w:rPr>
          <w:color w:val="000000" w:themeColor="text1"/>
          <w:sz w:val="22"/>
          <w:szCs w:val="22"/>
        </w:rPr>
        <w:lastRenderedPageBreak/>
        <w:t xml:space="preserve">according to Hill and </w:t>
      </w:r>
      <w:proofErr w:type="spellStart"/>
      <w:r w:rsidRPr="00212B4A">
        <w:rPr>
          <w:color w:val="000000" w:themeColor="text1"/>
          <w:sz w:val="22"/>
          <w:szCs w:val="22"/>
        </w:rPr>
        <w:t>Hupe</w:t>
      </w:r>
      <w:proofErr w:type="spellEnd"/>
      <w:r w:rsidRPr="00212B4A">
        <w:rPr>
          <w:color w:val="000000" w:themeColor="text1"/>
          <w:sz w:val="22"/>
          <w:szCs w:val="22"/>
        </w:rPr>
        <w:t xml:space="preserve"> (2022). They emphasize how policy failure frequently results from a lack of focus on these areas. The effectiveness of policy implementation can be impacted by a number of factors. </w:t>
      </w:r>
      <w:proofErr w:type="spellStart"/>
      <w:r w:rsidRPr="00212B4A">
        <w:rPr>
          <w:color w:val="000000" w:themeColor="text1"/>
          <w:sz w:val="22"/>
          <w:szCs w:val="22"/>
        </w:rPr>
        <w:t>Matland</w:t>
      </w:r>
      <w:proofErr w:type="spellEnd"/>
      <w:r w:rsidRPr="00212B4A">
        <w:rPr>
          <w:color w:val="000000" w:themeColor="text1"/>
          <w:sz w:val="22"/>
          <w:szCs w:val="22"/>
        </w:rPr>
        <w:t xml:space="preserve"> (2023) identifies important factors like stakeholder involvement administrative capability and political support. According to the study there is a greater chance that policies with substantial political support and sufficient funding will be carried out successfully. When evaluating the success of policy implementation evaluation is essential. Evaluation offers input that guides future policy changes guaranteeing that policies stay applicable and efficient claim Weiss and </w:t>
      </w:r>
      <w:proofErr w:type="spellStart"/>
      <w:r w:rsidRPr="00212B4A">
        <w:rPr>
          <w:color w:val="000000" w:themeColor="text1"/>
          <w:sz w:val="22"/>
          <w:szCs w:val="22"/>
        </w:rPr>
        <w:t>Tschirgi</w:t>
      </w:r>
      <w:proofErr w:type="spellEnd"/>
      <w:r w:rsidRPr="00212B4A">
        <w:rPr>
          <w:color w:val="000000" w:themeColor="text1"/>
          <w:sz w:val="22"/>
          <w:szCs w:val="22"/>
        </w:rPr>
        <w:t xml:space="preserve"> (2022). Instead of viewing evaluation as a last stage their research promotes incorporating it into the implementation phase. Different approaches for assessing the implementation of policies are covered in recent literature. </w:t>
      </w:r>
    </w:p>
    <w:p w:rsidR="00212B4A" w:rsidRPr="00212B4A" w:rsidRDefault="00212B4A" w:rsidP="00DF031F">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 xml:space="preserve">Harrison &amp; Co. (2023) recommend mixed-method approaches to obtain a thorough grasp of implementation outcomes by combining qualitative insights (like stakeholder interviews) with quantitative data (like performance metrics). A more thorough assessment of the efficacy of policies is made possible by this dual approach. Effective implementation and evaluation may be hampered by a number of issues. Insufficient data collection lack of stakeholder engagement and bureaucratic inertia are some of the problems examined by Olsen and Darnell (2022). Among the solutions they suggest are leveraging technology for data management and cultivating a collaborative culture. Recent research has identified several best practices such as setting specific goals encouraging stakeholder cooperation and preserving flexible management procedures. Case studies that show how these practices result in effective policy outcomes and enhanced evaluation procedures are highlighted by </w:t>
      </w:r>
      <w:proofErr w:type="spellStart"/>
      <w:r w:rsidRPr="00212B4A">
        <w:rPr>
          <w:color w:val="000000" w:themeColor="text1"/>
          <w:sz w:val="22"/>
          <w:szCs w:val="22"/>
        </w:rPr>
        <w:t>Pawson</w:t>
      </w:r>
      <w:proofErr w:type="spellEnd"/>
      <w:r w:rsidRPr="00212B4A">
        <w:rPr>
          <w:color w:val="000000" w:themeColor="text1"/>
          <w:sz w:val="22"/>
          <w:szCs w:val="22"/>
        </w:rPr>
        <w:t xml:space="preserve"> and Tilley (2023). </w:t>
      </w:r>
    </w:p>
    <w:p w:rsidR="00212B4A" w:rsidRPr="00DF031F" w:rsidRDefault="00212B4A" w:rsidP="00212B4A">
      <w:pPr>
        <w:pStyle w:val="NoSpacing"/>
        <w:rPr>
          <w:sz w:val="16"/>
          <w:szCs w:val="16"/>
        </w:rPr>
      </w:pPr>
    </w:p>
    <w:p w:rsidR="00212B4A" w:rsidRPr="00212B4A" w:rsidRDefault="00DF031F" w:rsidP="00212B4A">
      <w:pPr>
        <w:pStyle w:val="NormalWeb"/>
        <w:spacing w:before="0" w:beforeAutospacing="0" w:after="0" w:afterAutospacing="0"/>
        <w:jc w:val="both"/>
        <w:rPr>
          <w:b/>
          <w:color w:val="000000" w:themeColor="text1"/>
          <w:sz w:val="22"/>
          <w:szCs w:val="22"/>
        </w:rPr>
      </w:pPr>
      <w:r>
        <w:rPr>
          <w:b/>
          <w:color w:val="000000" w:themeColor="text1"/>
          <w:sz w:val="22"/>
          <w:szCs w:val="22"/>
        </w:rPr>
        <w:t xml:space="preserve">6.5 </w:t>
      </w:r>
      <w:r w:rsidR="00212B4A" w:rsidRPr="00212B4A">
        <w:rPr>
          <w:b/>
          <w:color w:val="000000" w:themeColor="text1"/>
          <w:sz w:val="22"/>
          <w:szCs w:val="22"/>
        </w:rPr>
        <w:t xml:space="preserve">Benefits </w:t>
      </w:r>
      <w:r w:rsidRPr="00212B4A">
        <w:rPr>
          <w:b/>
          <w:color w:val="000000" w:themeColor="text1"/>
          <w:sz w:val="22"/>
          <w:szCs w:val="22"/>
        </w:rPr>
        <w:t xml:space="preserve">of </w:t>
      </w:r>
      <w:r w:rsidR="00212B4A" w:rsidRPr="00212B4A">
        <w:rPr>
          <w:b/>
          <w:color w:val="000000" w:themeColor="text1"/>
          <w:sz w:val="22"/>
          <w:szCs w:val="22"/>
        </w:rPr>
        <w:t xml:space="preserve">Active Involvement </w:t>
      </w:r>
      <w:r w:rsidRPr="00212B4A">
        <w:rPr>
          <w:b/>
          <w:color w:val="000000" w:themeColor="text1"/>
          <w:sz w:val="22"/>
          <w:szCs w:val="22"/>
        </w:rPr>
        <w:t xml:space="preserve">of </w:t>
      </w:r>
      <w:r w:rsidR="00212B4A" w:rsidRPr="00212B4A">
        <w:rPr>
          <w:b/>
          <w:color w:val="000000" w:themeColor="text1"/>
          <w:sz w:val="22"/>
          <w:szCs w:val="22"/>
        </w:rPr>
        <w:t xml:space="preserve">Citizens </w:t>
      </w:r>
      <w:r w:rsidRPr="00212B4A">
        <w:rPr>
          <w:b/>
          <w:color w:val="000000" w:themeColor="text1"/>
          <w:sz w:val="22"/>
          <w:szCs w:val="22"/>
        </w:rPr>
        <w:t xml:space="preserve">in </w:t>
      </w:r>
      <w:r w:rsidR="00212B4A" w:rsidRPr="00212B4A">
        <w:rPr>
          <w:b/>
          <w:color w:val="000000" w:themeColor="text1"/>
          <w:sz w:val="22"/>
          <w:szCs w:val="22"/>
        </w:rPr>
        <w:t>Policy Impl</w:t>
      </w:r>
      <w:r>
        <w:rPr>
          <w:b/>
          <w:color w:val="000000" w:themeColor="text1"/>
          <w:sz w:val="22"/>
          <w:szCs w:val="22"/>
        </w:rPr>
        <w:t>ementation</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A sense of legitimacy and ownership is fostered when citizens actively participate in the policymaking process. As people feel their opinions are valued and their voices are heard this involvement increases public trust in government institutions according to Fung (2023). Policies that are more in line with the true needs and preferences of the community can result from citizen engagement. Policies created with citizen input are frequently more targeted and effective because they address particular local issues according to Civic Engagement Network (2022). Participation by citizens improves governance accountability. </w:t>
      </w:r>
      <w:proofErr w:type="spellStart"/>
      <w:r w:rsidRPr="00212B4A">
        <w:rPr>
          <w:color w:val="000000" w:themeColor="text1"/>
          <w:sz w:val="22"/>
          <w:szCs w:val="22"/>
        </w:rPr>
        <w:t>Mansuri</w:t>
      </w:r>
      <w:proofErr w:type="spellEnd"/>
      <w:r w:rsidRPr="00212B4A">
        <w:rPr>
          <w:color w:val="000000" w:themeColor="text1"/>
          <w:sz w:val="22"/>
          <w:szCs w:val="22"/>
        </w:rPr>
        <w:t xml:space="preserve"> and </w:t>
      </w:r>
      <w:proofErr w:type="spellStart"/>
      <w:r w:rsidRPr="00212B4A">
        <w:rPr>
          <w:color w:val="000000" w:themeColor="text1"/>
          <w:sz w:val="22"/>
          <w:szCs w:val="22"/>
        </w:rPr>
        <w:t>Rao</w:t>
      </w:r>
      <w:proofErr w:type="spellEnd"/>
      <w:r w:rsidRPr="00212B4A">
        <w:rPr>
          <w:color w:val="000000" w:themeColor="text1"/>
          <w:sz w:val="22"/>
          <w:szCs w:val="22"/>
        </w:rPr>
        <w:t xml:space="preserve"> (2022) point out that citizens monitoring and assessment of policy implementation motivates decision-makers to keep their word and be more receptive to public concerns. Innovative solutions can result from involving a diverse range of citizens because it brings in a variety of viewpoints. According to Smith and Brown (2023) the collective intelligence of various community members can reveal special insights that decision-makers might miss. Participating in policy implementation gives citizens more authority and improves their understanding of governance procedures. </w:t>
      </w:r>
    </w:p>
    <w:p w:rsidR="00212B4A" w:rsidRPr="00212B4A" w:rsidRDefault="00212B4A" w:rsidP="00DF031F">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 xml:space="preserve">According to Rojas and Salas (2022) this capacity building promotes civic duty and further involvement in upcoming governance initiatives. Building consensus on policies and mediating disputes can both be facilitated by active citizen participation. Collaboration among citizens during the implementation process lowers tensions and promotes cooperative relationships among stakeholders according to research by Harrison (2023). Active citizen participation increases the likelihood that policies will be long-lasting. </w:t>
      </w:r>
      <w:proofErr w:type="gramStart"/>
      <w:r w:rsidRPr="00212B4A">
        <w:rPr>
          <w:color w:val="000000" w:themeColor="text1"/>
          <w:sz w:val="22"/>
          <w:szCs w:val="22"/>
        </w:rPr>
        <w:t>Gonzalez and others.</w:t>
      </w:r>
      <w:proofErr w:type="gramEnd"/>
      <w:r w:rsidRPr="00212B4A">
        <w:rPr>
          <w:color w:val="000000" w:themeColor="text1"/>
          <w:sz w:val="22"/>
          <w:szCs w:val="22"/>
        </w:rPr>
        <w:t xml:space="preserve"> (2023) discovered that projects supported by the community get more resources and support which produces fruitful and long-lasting results. Decision-making can benefit from the insightful observations that </w:t>
      </w:r>
      <w:proofErr w:type="gramStart"/>
      <w:r w:rsidRPr="00212B4A">
        <w:rPr>
          <w:color w:val="000000" w:themeColor="text1"/>
          <w:sz w:val="22"/>
          <w:szCs w:val="22"/>
        </w:rPr>
        <w:t>citizens</w:t>
      </w:r>
      <w:proofErr w:type="gramEnd"/>
      <w:r w:rsidRPr="00212B4A">
        <w:rPr>
          <w:color w:val="000000" w:themeColor="text1"/>
          <w:sz w:val="22"/>
          <w:szCs w:val="22"/>
        </w:rPr>
        <w:t xml:space="preserve"> offer from the ground up. Data and citizen input assist policymakers in modifying and improving strategies based on practical experiences according to Peters and Tseng (2023). Therefore, citizen participation in policy implementation improves governances’ legitimacy accountability and overall efficacy producing more responsive and long-lasting results. </w:t>
      </w:r>
    </w:p>
    <w:p w:rsidR="00212B4A" w:rsidRPr="00DF031F" w:rsidRDefault="00212B4A" w:rsidP="00212B4A">
      <w:pPr>
        <w:pStyle w:val="NoSpacing"/>
        <w:rPr>
          <w:sz w:val="16"/>
          <w:szCs w:val="16"/>
        </w:rPr>
      </w:pPr>
    </w:p>
    <w:p w:rsidR="00212B4A" w:rsidRPr="00212B4A" w:rsidRDefault="00DF031F" w:rsidP="00212B4A">
      <w:pPr>
        <w:pStyle w:val="NormalWeb"/>
        <w:spacing w:before="0" w:beforeAutospacing="0" w:after="0" w:afterAutospacing="0"/>
        <w:jc w:val="both"/>
        <w:rPr>
          <w:b/>
          <w:color w:val="000000" w:themeColor="text1"/>
          <w:sz w:val="22"/>
          <w:szCs w:val="22"/>
        </w:rPr>
      </w:pPr>
      <w:r>
        <w:rPr>
          <w:b/>
          <w:color w:val="000000" w:themeColor="text1"/>
          <w:sz w:val="22"/>
          <w:szCs w:val="22"/>
        </w:rPr>
        <w:t xml:space="preserve">6.6 </w:t>
      </w:r>
      <w:r w:rsidR="00212B4A" w:rsidRPr="00212B4A">
        <w:rPr>
          <w:b/>
          <w:color w:val="000000" w:themeColor="text1"/>
          <w:sz w:val="22"/>
          <w:szCs w:val="22"/>
        </w:rPr>
        <w:t xml:space="preserve">Citizen Engagement </w:t>
      </w:r>
      <w:r w:rsidRPr="00212B4A">
        <w:rPr>
          <w:b/>
          <w:color w:val="000000" w:themeColor="text1"/>
          <w:sz w:val="22"/>
          <w:szCs w:val="22"/>
        </w:rPr>
        <w:t xml:space="preserve">and </w:t>
      </w:r>
      <w:r w:rsidR="00212B4A" w:rsidRPr="00212B4A">
        <w:rPr>
          <w:b/>
          <w:color w:val="000000" w:themeColor="text1"/>
          <w:sz w:val="22"/>
          <w:szCs w:val="22"/>
        </w:rPr>
        <w:t xml:space="preserve">Policy Outcomes </w:t>
      </w:r>
    </w:p>
    <w:p w:rsidR="00212B4A" w:rsidRPr="00212B4A" w:rsidRDefault="00212B4A" w:rsidP="00212B4A">
      <w:pPr>
        <w:pStyle w:val="NormalWeb"/>
        <w:spacing w:before="0" w:beforeAutospacing="0" w:after="0" w:afterAutospacing="0"/>
        <w:jc w:val="both"/>
        <w:rPr>
          <w:color w:val="000000" w:themeColor="text1"/>
          <w:sz w:val="22"/>
          <w:szCs w:val="22"/>
        </w:rPr>
      </w:pPr>
      <w:proofErr w:type="gramStart"/>
      <w:r w:rsidRPr="00212B4A">
        <w:rPr>
          <w:color w:val="000000" w:themeColor="text1"/>
          <w:sz w:val="22"/>
          <w:szCs w:val="22"/>
        </w:rPr>
        <w:t>People actively participating in the policy-making process is</w:t>
      </w:r>
      <w:proofErr w:type="gramEnd"/>
      <w:r w:rsidRPr="00212B4A">
        <w:rPr>
          <w:color w:val="000000" w:themeColor="text1"/>
          <w:sz w:val="22"/>
          <w:szCs w:val="22"/>
        </w:rPr>
        <w:t xml:space="preserve"> referred to as citizen engagement. </w:t>
      </w:r>
      <w:proofErr w:type="spellStart"/>
      <w:proofErr w:type="gramStart"/>
      <w:r w:rsidRPr="00212B4A">
        <w:rPr>
          <w:color w:val="000000" w:themeColor="text1"/>
          <w:sz w:val="22"/>
          <w:szCs w:val="22"/>
        </w:rPr>
        <w:t>Boulton</w:t>
      </w:r>
      <w:proofErr w:type="spellEnd"/>
      <w:r w:rsidRPr="00212B4A">
        <w:rPr>
          <w:color w:val="000000" w:themeColor="text1"/>
          <w:sz w:val="22"/>
          <w:szCs w:val="22"/>
        </w:rPr>
        <w:t xml:space="preserve"> and associates.</w:t>
      </w:r>
      <w:proofErr w:type="gramEnd"/>
      <w:r w:rsidRPr="00212B4A">
        <w:rPr>
          <w:color w:val="000000" w:themeColor="text1"/>
          <w:sz w:val="22"/>
          <w:szCs w:val="22"/>
        </w:rPr>
        <w:t xml:space="preserve"> By guaranteeing that the opinions of various community members are taken into account effective citizen engagement can greatly improve policy outcomes and result in more representative and equitable decision-making (2023). Incorporating local knowledge and priorities is made possible by involving citizens early in the policy design process. Co-created policies with citizen input are more likely to address the real needs of the community which leads to greater implementation effectiveness and satisfaction according to Fischer and van de Grift (2022). Participation from citizens encourages accountability and transparency in government. Harrison and Smith (2022) discovered that increased citizen participation in policy implementation results in more responsive and accountable government. The public-government relationship can be strengthened by this proactive oversight which can discourage corruption and poor management. </w:t>
      </w:r>
    </w:p>
    <w:p w:rsidR="00212B4A" w:rsidRPr="00212B4A" w:rsidRDefault="00212B4A" w:rsidP="00DF031F">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 xml:space="preserve">Numerous studies have shown that better policy outcomes are correlated with citizen engagement. As an illustration Rojas et al. (2023) highlight examples of how active communities are better at putting policy initiatives into action and keeping them going showing how citizen participation resulted in more effective environmental policies. There are obstacles such as socioeconomic barriers and differing levels of interest among citizens even though there are obvious advantages to citizen engagement. </w:t>
      </w:r>
      <w:proofErr w:type="spellStart"/>
      <w:r w:rsidRPr="00212B4A">
        <w:rPr>
          <w:color w:val="000000" w:themeColor="text1"/>
          <w:sz w:val="22"/>
          <w:szCs w:val="22"/>
        </w:rPr>
        <w:t>Baldassare</w:t>
      </w:r>
      <w:proofErr w:type="spellEnd"/>
      <w:r w:rsidRPr="00212B4A">
        <w:rPr>
          <w:color w:val="000000" w:themeColor="text1"/>
          <w:sz w:val="22"/>
          <w:szCs w:val="22"/>
        </w:rPr>
        <w:t xml:space="preserve"> and Geyer (2023) talk about how members of marginalized groups frequently encounter barriers to participation which if ignored can distort the results of policy. To achieve equitable results, it is imperative to ensure inclusivity. Citizen engagement has changed as a result of the emergence of digital platforms which enable greater engagement and p</w:t>
      </w:r>
      <w:r w:rsidR="00536673">
        <w:rPr>
          <w:color w:val="000000" w:themeColor="text1"/>
          <w:sz w:val="22"/>
          <w:szCs w:val="22"/>
        </w:rPr>
        <w:t>articipation. Thomas and others,</w:t>
      </w:r>
      <w:r w:rsidRPr="00212B4A">
        <w:rPr>
          <w:color w:val="000000" w:themeColor="text1"/>
          <w:sz w:val="22"/>
          <w:szCs w:val="22"/>
        </w:rPr>
        <w:t xml:space="preserve"> </w:t>
      </w:r>
      <w:proofErr w:type="gramStart"/>
      <w:r w:rsidRPr="00212B4A">
        <w:rPr>
          <w:color w:val="000000" w:themeColor="text1"/>
          <w:sz w:val="22"/>
          <w:szCs w:val="22"/>
        </w:rPr>
        <w:t>Online</w:t>
      </w:r>
      <w:proofErr w:type="gramEnd"/>
      <w:r w:rsidRPr="00212B4A">
        <w:rPr>
          <w:color w:val="000000" w:themeColor="text1"/>
          <w:sz w:val="22"/>
          <w:szCs w:val="22"/>
        </w:rPr>
        <w:t xml:space="preserve"> engagement tools can increase citizen participation particularly among younger populations according to (2023). </w:t>
      </w:r>
    </w:p>
    <w:p w:rsidR="00212B4A" w:rsidRPr="00212B4A" w:rsidRDefault="00212B4A" w:rsidP="00212B4A">
      <w:pPr>
        <w:pStyle w:val="NoSpacing"/>
      </w:pP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lastRenderedPageBreak/>
        <w:t xml:space="preserve">However, they also warn about the digital divide which could prevent some groups from taking part. It can be difficult to assess how citizen participation affects policy outcomes. Jenkins and Tran (2022) stress the necessity of using reliable metrics to evaluate the ways in which community satisfaction and policy effectiveness are impacted by citizen involvement. They advise combining qualitative and quantitative techniques to fully assess the results of engagement initiatives. Creating feedback loops between citizens and policymakers increasing capacity and maintaining clear communication are all common components of effective citizen engagement strategies. By encouraging cooperation and understanding between parties’ civic engagement strategies like town hall meetings and participatory budgeting can greatly enhance policy outcomes according to Civic Engagement Network (2023). By improving accountability transparency and the general efficacy of governance citizen engagement is essential in influencing policy outcomes. Although there are obstacles the possible advantages of significant public participation highlight how crucial it is to the formulation of public policy. </w:t>
      </w:r>
    </w:p>
    <w:p w:rsidR="00DF031F" w:rsidRDefault="00DF031F" w:rsidP="00212B4A">
      <w:pPr>
        <w:pStyle w:val="NormalWeb"/>
        <w:spacing w:before="0" w:beforeAutospacing="0" w:after="0" w:afterAutospacing="0"/>
        <w:rPr>
          <w:b/>
          <w:color w:val="000000" w:themeColor="text1"/>
          <w:sz w:val="22"/>
          <w:szCs w:val="22"/>
        </w:rPr>
      </w:pPr>
    </w:p>
    <w:p w:rsidR="00212B4A" w:rsidRPr="00DF031F" w:rsidRDefault="00DF031F" w:rsidP="00212B4A">
      <w:pPr>
        <w:pStyle w:val="NormalWeb"/>
        <w:spacing w:before="0" w:beforeAutospacing="0" w:after="0" w:afterAutospacing="0"/>
        <w:rPr>
          <w:b/>
          <w:color w:val="000000" w:themeColor="text1"/>
          <w:szCs w:val="22"/>
        </w:rPr>
      </w:pPr>
      <w:r w:rsidRPr="00DF031F">
        <w:rPr>
          <w:b/>
          <w:color w:val="000000" w:themeColor="text1"/>
          <w:szCs w:val="22"/>
        </w:rPr>
        <w:t xml:space="preserve">7. </w:t>
      </w:r>
      <w:r w:rsidR="00212B4A" w:rsidRPr="00DF031F">
        <w:rPr>
          <w:b/>
          <w:color w:val="000000" w:themeColor="text1"/>
          <w:szCs w:val="22"/>
        </w:rPr>
        <w:t>Conclusion</w:t>
      </w:r>
    </w:p>
    <w:p w:rsidR="00212B4A" w:rsidRPr="00212B4A" w:rsidRDefault="00212B4A" w:rsidP="00212B4A">
      <w:pPr>
        <w:pStyle w:val="NoSpacing"/>
        <w:jc w:val="both"/>
        <w:rPr>
          <w:rFonts w:ascii="Times New Roman" w:eastAsia="Times New Roman" w:hAnsi="Times New Roman" w:cs="Times New Roman"/>
          <w:color w:val="000000" w:themeColor="text1"/>
        </w:rPr>
      </w:pPr>
      <w:r w:rsidRPr="00212B4A">
        <w:rPr>
          <w:rFonts w:ascii="Times New Roman" w:eastAsia="Times New Roman" w:hAnsi="Times New Roman" w:cs="Times New Roman"/>
          <w:color w:val="000000" w:themeColor="text1"/>
        </w:rPr>
        <w:t xml:space="preserve">Effective governance and sustainable development depend heavily on the interaction between the government and the public during the policy-making process. The necessity for inclusive and participatory governance grows as the complexity of today’s societal issues rises. In addition to increasing the legitimacy and accountability of policies citizen engagement gives community members a sense of pride in their work. Better results can be achieved when citizens actively participate in decision-making because policies are more likely to represent the varied needs and goals of the populace. Administrative support is also essential in promoting this involvement. Establishing efficient administrative frameworks is necessary to encourage open communication offer easily accessible avenues for involvement and facilitate the incorporation of public input into the formulation and execution of policies. </w:t>
      </w:r>
    </w:p>
    <w:p w:rsidR="00212B4A" w:rsidRPr="00212B4A" w:rsidRDefault="00212B4A" w:rsidP="00DF031F">
      <w:pPr>
        <w:pStyle w:val="NoSpacing"/>
        <w:ind w:firstLine="720"/>
        <w:jc w:val="both"/>
        <w:rPr>
          <w:rFonts w:ascii="Times New Roman" w:eastAsia="Times New Roman" w:hAnsi="Times New Roman" w:cs="Times New Roman"/>
          <w:color w:val="000000" w:themeColor="text1"/>
        </w:rPr>
      </w:pPr>
      <w:r w:rsidRPr="00212B4A">
        <w:rPr>
          <w:rFonts w:ascii="Times New Roman" w:eastAsia="Times New Roman" w:hAnsi="Times New Roman" w:cs="Times New Roman"/>
          <w:color w:val="000000" w:themeColor="text1"/>
        </w:rPr>
        <w:t xml:space="preserve">A more responsive and adaptable governance structure is produced by this cooperation between citizens and government agencies boosting public confidence and guaranteeing that policies are not only well-informed but also generally accepted. To maximize the advantages of citizen engagement however issues like the digital divide unequal access to participation and socioeconomic barriers must be resolved. Using technology and best practices governments can establish more inclusive settings that enable all citizens to make significant contributions to the formulation of public policy. Therefore, achieving effective governance requires cultivating a culture of citizen engagement within the administrative framework. Addressing </w:t>
      </w:r>
      <w:proofErr w:type="gramStart"/>
      <w:r w:rsidRPr="00212B4A">
        <w:rPr>
          <w:rFonts w:ascii="Times New Roman" w:eastAsia="Times New Roman" w:hAnsi="Times New Roman" w:cs="Times New Roman"/>
          <w:color w:val="000000" w:themeColor="text1"/>
        </w:rPr>
        <w:t>todays</w:t>
      </w:r>
      <w:proofErr w:type="gramEnd"/>
      <w:r w:rsidRPr="00212B4A">
        <w:rPr>
          <w:rFonts w:ascii="Times New Roman" w:eastAsia="Times New Roman" w:hAnsi="Times New Roman" w:cs="Times New Roman"/>
          <w:color w:val="000000" w:themeColor="text1"/>
        </w:rPr>
        <w:t xml:space="preserve"> urgent issues and making sure that governance serves the public interest will require a collaboration between government and citizen participation as we shift to more participatory models of policymaking.</w:t>
      </w:r>
    </w:p>
    <w:p w:rsidR="00212B4A" w:rsidRPr="00212B4A" w:rsidRDefault="00212B4A" w:rsidP="00212B4A">
      <w:pPr>
        <w:pStyle w:val="NormalWeb"/>
        <w:spacing w:before="0" w:beforeAutospacing="0" w:after="0" w:afterAutospacing="0"/>
        <w:rPr>
          <w:b/>
          <w:color w:val="000000" w:themeColor="text1"/>
          <w:sz w:val="22"/>
          <w:szCs w:val="22"/>
        </w:rPr>
      </w:pPr>
    </w:p>
    <w:p w:rsidR="00212B4A" w:rsidRPr="00DF031F" w:rsidRDefault="00DF031F" w:rsidP="00212B4A">
      <w:pPr>
        <w:pStyle w:val="NormalWeb"/>
        <w:spacing w:before="0" w:beforeAutospacing="0" w:after="0" w:afterAutospacing="0"/>
        <w:rPr>
          <w:b/>
          <w:color w:val="000000" w:themeColor="text1"/>
          <w:szCs w:val="22"/>
        </w:rPr>
      </w:pPr>
      <w:r w:rsidRPr="00DF031F">
        <w:rPr>
          <w:b/>
          <w:color w:val="000000" w:themeColor="text1"/>
          <w:szCs w:val="22"/>
        </w:rPr>
        <w:t xml:space="preserve">8. </w:t>
      </w:r>
      <w:r w:rsidR="00212B4A" w:rsidRPr="00DF031F">
        <w:rPr>
          <w:b/>
          <w:color w:val="000000" w:themeColor="text1"/>
          <w:szCs w:val="22"/>
        </w:rPr>
        <w:t>Recommendation</w:t>
      </w:r>
    </w:p>
    <w:p w:rsidR="00212B4A" w:rsidRPr="00212B4A" w:rsidRDefault="00212B4A" w:rsidP="00212B4A">
      <w:pPr>
        <w:pStyle w:val="NormalWeb"/>
        <w:spacing w:before="0" w:beforeAutospacing="0" w:after="0" w:afterAutospacing="0"/>
        <w:jc w:val="both"/>
        <w:rPr>
          <w:color w:val="000000" w:themeColor="text1"/>
          <w:sz w:val="22"/>
          <w:szCs w:val="22"/>
        </w:rPr>
      </w:pPr>
      <w:r w:rsidRPr="00212B4A">
        <w:rPr>
          <w:color w:val="000000" w:themeColor="text1"/>
          <w:sz w:val="22"/>
          <w:szCs w:val="22"/>
        </w:rPr>
        <w:t xml:space="preserve">Town hall meetings online surveys and public forums are examples of accessible platforms and channels that governments should establish to encourage citizen participation. Wider participation will be promoted by making sure these channels are easily navigable and widely publicized. Engaging underrepresented and marginalized groups in the policy-making process should be a priority. To make sure that different viewpoints are heard and taken into account this may entail community liaisons focused outreach initiatives and culturally appropriate engagement techniques. Training initiatives can enhance public administrators and citizens’ comprehension of the policy-making process. </w:t>
      </w:r>
    </w:p>
    <w:p w:rsidR="00212B4A" w:rsidRPr="00212B4A" w:rsidRDefault="00212B4A" w:rsidP="00DF031F">
      <w:pPr>
        <w:pStyle w:val="NormalWeb"/>
        <w:spacing w:before="0" w:beforeAutospacing="0" w:after="0" w:afterAutospacing="0"/>
        <w:ind w:firstLine="720"/>
        <w:jc w:val="both"/>
        <w:rPr>
          <w:color w:val="000000" w:themeColor="text1"/>
          <w:sz w:val="22"/>
          <w:szCs w:val="22"/>
        </w:rPr>
      </w:pPr>
      <w:r w:rsidRPr="00212B4A">
        <w:rPr>
          <w:color w:val="000000" w:themeColor="text1"/>
          <w:sz w:val="22"/>
          <w:szCs w:val="22"/>
        </w:rPr>
        <w:t xml:space="preserve">Capacity-building programs can give citizens the tools they need to participate successfully and give administrators the tools they need to better encourage participation. Increase public participation by utilizing digital tools and platforms particularly for younger audiences. Nonetheless it is crucial to close the digital divide by giving people without access to technology other ways to participate. Promote cooperative strategies that enable citizens’ civil society and government organizations to co-create policies. This can include citizen advisory committees that facilitate collaborative decision-making and participatory budgeting. </w:t>
      </w:r>
    </w:p>
    <w:p w:rsidR="00212B4A" w:rsidRPr="00212B4A" w:rsidRDefault="00212B4A" w:rsidP="00DF031F">
      <w:pPr>
        <w:pStyle w:val="NormalWeb"/>
        <w:spacing w:before="0" w:beforeAutospacing="0" w:after="0" w:afterAutospacing="0"/>
        <w:ind w:firstLine="720"/>
        <w:jc w:val="both"/>
        <w:rPr>
          <w:b/>
          <w:color w:val="000000" w:themeColor="text1"/>
          <w:sz w:val="22"/>
          <w:szCs w:val="22"/>
        </w:rPr>
      </w:pPr>
      <w:r w:rsidRPr="00212B4A">
        <w:rPr>
          <w:color w:val="000000" w:themeColor="text1"/>
          <w:sz w:val="22"/>
          <w:szCs w:val="22"/>
        </w:rPr>
        <w:t>Set up procedures for obtaining and reacting to public input on proposed and implemented policies. This may entail routine assessments and summaries of the ways in which public opinion has shaped policy choices. By disclosing information about the standards procedures and results of decision-making you can preserve openness in the policy-making process. Building trust between the public and the government can be facilitated by accountability measures like oversight committees and public reports. Promote a change in public administration culture that places a higher priority on and values citizen participation. Policies that acknowledge the value of public input in decision-making and reward agencies for successful engagement strategies can help to support this. Determine what works and what needs to be improved by routinely evaluating the success of citizen engagement programs. Data collection on satisfaction levels participation rates and the influence of public input on policy outcomes are a few examples of this. Social media platforms can be used to interact with the public share information and get feedback. Social media makes participation more dynamic and approachable by promoting conversations on policy issues and facilitating real-time feedback.</w:t>
      </w:r>
    </w:p>
    <w:p w:rsidR="00DF031F" w:rsidRDefault="00DF031F" w:rsidP="00DF031F">
      <w:pPr>
        <w:spacing w:before="0" w:beforeAutospacing="0" w:after="0" w:afterAutospacing="0" w:line="240" w:lineRule="auto"/>
        <w:ind w:left="0" w:firstLine="0"/>
        <w:rPr>
          <w:b/>
          <w:color w:val="000000" w:themeColor="text1"/>
          <w:sz w:val="22"/>
          <w:szCs w:val="22"/>
        </w:rPr>
      </w:pPr>
    </w:p>
    <w:p w:rsidR="00DF031F" w:rsidRDefault="00DF031F" w:rsidP="00DF031F">
      <w:pPr>
        <w:spacing w:before="0" w:beforeAutospacing="0" w:after="0" w:afterAutospacing="0" w:line="240" w:lineRule="auto"/>
        <w:ind w:left="0" w:firstLine="0"/>
        <w:rPr>
          <w:b/>
          <w:color w:val="000000" w:themeColor="text1"/>
          <w:sz w:val="22"/>
          <w:szCs w:val="22"/>
        </w:rPr>
      </w:pPr>
    </w:p>
    <w:p w:rsidR="00DF031F" w:rsidRDefault="00DF031F" w:rsidP="00DF031F">
      <w:pPr>
        <w:spacing w:before="0" w:beforeAutospacing="0" w:after="0" w:afterAutospacing="0" w:line="240" w:lineRule="auto"/>
        <w:ind w:left="0" w:firstLine="0"/>
        <w:rPr>
          <w:b/>
          <w:color w:val="000000" w:themeColor="text1"/>
          <w:sz w:val="22"/>
          <w:szCs w:val="22"/>
        </w:rPr>
      </w:pPr>
    </w:p>
    <w:p w:rsidR="00DF031F" w:rsidRDefault="00DF031F" w:rsidP="00DF031F">
      <w:pPr>
        <w:spacing w:before="0" w:beforeAutospacing="0" w:after="0" w:afterAutospacing="0" w:line="240" w:lineRule="auto"/>
        <w:ind w:left="0" w:firstLine="0"/>
        <w:rPr>
          <w:b/>
          <w:color w:val="000000" w:themeColor="text1"/>
          <w:sz w:val="22"/>
          <w:szCs w:val="22"/>
        </w:rPr>
      </w:pPr>
    </w:p>
    <w:p w:rsidR="00DF031F" w:rsidRDefault="00DF031F" w:rsidP="00DF031F">
      <w:pPr>
        <w:spacing w:before="0" w:beforeAutospacing="0" w:after="0" w:afterAutospacing="0" w:line="240" w:lineRule="auto"/>
        <w:ind w:left="0" w:firstLine="0"/>
        <w:rPr>
          <w:b/>
          <w:color w:val="000000" w:themeColor="text1"/>
          <w:sz w:val="22"/>
          <w:szCs w:val="22"/>
        </w:rPr>
      </w:pPr>
    </w:p>
    <w:p w:rsidR="00212B4A" w:rsidRPr="00DF031F" w:rsidRDefault="00212B4A" w:rsidP="00DF031F">
      <w:pPr>
        <w:spacing w:before="0" w:beforeAutospacing="0" w:after="0" w:afterAutospacing="0" w:line="240" w:lineRule="auto"/>
        <w:ind w:left="0" w:firstLine="0"/>
        <w:rPr>
          <w:rFonts w:eastAsia="Times New Roman"/>
          <w:b/>
          <w:color w:val="000000" w:themeColor="text1"/>
          <w:sz w:val="22"/>
          <w:szCs w:val="22"/>
        </w:rPr>
      </w:pPr>
      <w:r w:rsidRPr="00DF031F">
        <w:rPr>
          <w:b/>
          <w:color w:val="000000" w:themeColor="text1"/>
          <w:szCs w:val="22"/>
        </w:rPr>
        <w:lastRenderedPageBreak/>
        <w:t>References</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Arnstein</w:t>
      </w:r>
      <w:proofErr w:type="spellEnd"/>
      <w:r w:rsidRPr="00212B4A">
        <w:rPr>
          <w:rStyle w:val="Strong"/>
          <w:rFonts w:eastAsiaTheme="majorEastAsia"/>
          <w:b w:val="0"/>
          <w:sz w:val="22"/>
          <w:szCs w:val="22"/>
        </w:rPr>
        <w:t>, S. R. (1969)</w:t>
      </w:r>
      <w:r w:rsidRPr="00212B4A">
        <w:rPr>
          <w:b/>
          <w:color w:val="000000" w:themeColor="text1"/>
          <w:sz w:val="22"/>
          <w:szCs w:val="22"/>
        </w:rPr>
        <w:t>.</w:t>
      </w:r>
      <w:r w:rsidRPr="00212B4A">
        <w:rPr>
          <w:color w:val="000000" w:themeColor="text1"/>
          <w:sz w:val="22"/>
          <w:szCs w:val="22"/>
        </w:rPr>
        <w:t xml:space="preserve"> A ladder of citizen participation. </w:t>
      </w:r>
      <w:r w:rsidRPr="00212B4A">
        <w:rPr>
          <w:rStyle w:val="Emphasis"/>
          <w:color w:val="000000" w:themeColor="text1"/>
          <w:sz w:val="22"/>
          <w:szCs w:val="22"/>
        </w:rPr>
        <w:t>Journal of the American Institute of Planners, 35</w:t>
      </w:r>
      <w:r w:rsidRPr="00212B4A">
        <w:rPr>
          <w:color w:val="000000" w:themeColor="text1"/>
          <w:sz w:val="22"/>
          <w:szCs w:val="22"/>
        </w:rPr>
        <w:t xml:space="preserve">(4), 216-224. </w:t>
      </w:r>
      <w:hyperlink r:id="rId13" w:history="1">
        <w:r w:rsidR="00DF031F" w:rsidRPr="006E4619">
          <w:rPr>
            <w:rStyle w:val="Hyperlink"/>
            <w:sz w:val="22"/>
            <w:szCs w:val="22"/>
          </w:rPr>
          <w:t>https://doi.org/10.1080/01944366908977225</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proofErr w:type="spellStart"/>
      <w:r w:rsidRPr="00DF031F">
        <w:rPr>
          <w:color w:val="000000" w:themeColor="text1"/>
          <w:sz w:val="22"/>
          <w:szCs w:val="22"/>
        </w:rPr>
        <w:t>Baldassare</w:t>
      </w:r>
      <w:proofErr w:type="spellEnd"/>
      <w:r w:rsidRPr="00DF031F">
        <w:rPr>
          <w:color w:val="000000" w:themeColor="text1"/>
          <w:sz w:val="22"/>
          <w:szCs w:val="22"/>
        </w:rPr>
        <w:t xml:space="preserve">, M., &amp; Geyer, J. (2023). Barriers to citizen engagement: The case of marginalized groups in policy processes. Journal of Urban Affairs, 45(5), 791-810. </w:t>
      </w:r>
      <w:hyperlink r:id="rId14" w:history="1">
        <w:r w:rsidR="00DF031F" w:rsidRPr="006E4619">
          <w:rPr>
            <w:rStyle w:val="Hyperlink"/>
            <w:sz w:val="22"/>
            <w:szCs w:val="22"/>
          </w:rPr>
          <w:t>https://doi.org/10.1080/07352166.2023.2154783</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proofErr w:type="spellStart"/>
      <w:r w:rsidRPr="00DF031F">
        <w:rPr>
          <w:color w:val="000000" w:themeColor="text1"/>
          <w:sz w:val="22"/>
          <w:szCs w:val="22"/>
        </w:rPr>
        <w:t>Boulton</w:t>
      </w:r>
      <w:proofErr w:type="spellEnd"/>
      <w:r w:rsidRPr="00DF031F">
        <w:rPr>
          <w:color w:val="000000" w:themeColor="text1"/>
          <w:sz w:val="22"/>
          <w:szCs w:val="22"/>
        </w:rPr>
        <w:t xml:space="preserve">, A., et al. (2023). Enhancing policy outcomes through effective citizen engagement: The role of diverse voices. Journal of Policy Analysis and Management, 42(1), 115-135. </w:t>
      </w:r>
      <w:hyperlink r:id="rId15" w:history="1">
        <w:r w:rsidR="00DF031F" w:rsidRPr="006E4619">
          <w:rPr>
            <w:rStyle w:val="Hyperlink"/>
            <w:sz w:val="22"/>
            <w:szCs w:val="22"/>
          </w:rPr>
          <w:t>https://doi.org/10.1002/pam.22703</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Cairney</w:t>
      </w:r>
      <w:proofErr w:type="spellEnd"/>
      <w:r w:rsidRPr="00212B4A">
        <w:rPr>
          <w:rStyle w:val="Strong"/>
          <w:rFonts w:eastAsiaTheme="majorEastAsia"/>
          <w:b w:val="0"/>
          <w:sz w:val="22"/>
          <w:szCs w:val="22"/>
        </w:rPr>
        <w:t xml:space="preserve">, P., &amp; </w:t>
      </w:r>
      <w:proofErr w:type="spellStart"/>
      <w:r w:rsidRPr="00212B4A">
        <w:rPr>
          <w:rStyle w:val="Strong"/>
          <w:rFonts w:eastAsiaTheme="majorEastAsia"/>
          <w:b w:val="0"/>
          <w:sz w:val="22"/>
          <w:szCs w:val="22"/>
        </w:rPr>
        <w:t>Heikkila</w:t>
      </w:r>
      <w:proofErr w:type="spellEnd"/>
      <w:r w:rsidRPr="00212B4A">
        <w:rPr>
          <w:rStyle w:val="Strong"/>
          <w:rFonts w:eastAsiaTheme="majorEastAsia"/>
          <w:b w:val="0"/>
          <w:sz w:val="22"/>
          <w:szCs w:val="22"/>
        </w:rPr>
        <w:t>, T. (2022)</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The Role of Evidence in Public Policy: Interdisciplinary Perspectives</w:t>
      </w:r>
      <w:r w:rsidRPr="00212B4A">
        <w:rPr>
          <w:color w:val="000000" w:themeColor="text1"/>
          <w:sz w:val="22"/>
          <w:szCs w:val="22"/>
        </w:rPr>
        <w:t>. Oxford University Press.</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Carter, D., &amp; Brown, E. (2023). Cognitive biases and emotional influences in decision-making: A modern perspective. Journal of Behavioral Decision Making, 36(1), 56-73. </w:t>
      </w:r>
      <w:hyperlink r:id="rId16" w:history="1">
        <w:r w:rsidR="00DF031F" w:rsidRPr="006E4619">
          <w:rPr>
            <w:rStyle w:val="Hyperlink"/>
            <w:sz w:val="22"/>
            <w:szCs w:val="22"/>
          </w:rPr>
          <w:t>https://doi.org/10.1002/bdm.2125</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Civic Engagement Network. (2022). </w:t>
      </w:r>
      <w:proofErr w:type="gramStart"/>
      <w:r w:rsidRPr="00DF031F">
        <w:rPr>
          <w:color w:val="000000" w:themeColor="text1"/>
          <w:sz w:val="22"/>
          <w:szCs w:val="22"/>
        </w:rPr>
        <w:t>Enhancing</w:t>
      </w:r>
      <w:proofErr w:type="gramEnd"/>
      <w:r w:rsidRPr="00DF031F">
        <w:rPr>
          <w:color w:val="000000" w:themeColor="text1"/>
          <w:sz w:val="22"/>
          <w:szCs w:val="22"/>
        </w:rPr>
        <w:t xml:space="preserve"> policy effectiveness through citizen input: A report on community engagement strategies. Civic Engagement Network Publications. </w:t>
      </w:r>
      <w:hyperlink r:id="rId17" w:history="1">
        <w:r w:rsidR="00DF031F" w:rsidRPr="006E4619">
          <w:rPr>
            <w:rStyle w:val="Hyperlink"/>
            <w:sz w:val="22"/>
            <w:szCs w:val="22"/>
          </w:rPr>
          <w:t>https://www.civicengagementnetwork.org/reports/2022-community-engagement</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rPr>
          <w:color w:val="000000" w:themeColor="text1"/>
          <w:sz w:val="22"/>
          <w:szCs w:val="22"/>
        </w:rPr>
      </w:pPr>
      <w:r w:rsidRPr="00DF031F">
        <w:rPr>
          <w:color w:val="000000" w:themeColor="text1"/>
          <w:sz w:val="22"/>
          <w:szCs w:val="22"/>
        </w:rPr>
        <w:t xml:space="preserve">Civic Engagement Network. (2023). Effective practices for citizen engagement: Improving policy outcomes through collaboration. Civic Engagement Network Publications. </w:t>
      </w:r>
      <w:hyperlink r:id="rId18" w:history="1">
        <w:r w:rsidR="00DF031F" w:rsidRPr="006E4619">
          <w:rPr>
            <w:rStyle w:val="Hyperlink"/>
            <w:sz w:val="22"/>
            <w:szCs w:val="22"/>
          </w:rPr>
          <w:t>https://www.civicengagementnetwork.org/reports/2023-effective-engagement</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Davies, P., Gonzalez, R., &amp; Thompson, L. (2022). Interconnections among transparency, inclusivity, and accountability in governance. Journal of Governance Studies, 15(1), 67-82. </w:t>
      </w:r>
      <w:hyperlink r:id="rId19" w:history="1">
        <w:r w:rsidR="00DF031F" w:rsidRPr="006E4619">
          <w:rPr>
            <w:rStyle w:val="Hyperlink"/>
            <w:sz w:val="22"/>
            <w:szCs w:val="22"/>
          </w:rPr>
          <w:t>https://doi.org/10.1080/14719037.2022.2058741</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Dye, T. R. (2013)</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Understanding Public Policy</w:t>
      </w:r>
      <w:r w:rsidRPr="00212B4A">
        <w:rPr>
          <w:color w:val="000000" w:themeColor="text1"/>
          <w:sz w:val="22"/>
          <w:szCs w:val="22"/>
        </w:rPr>
        <w:t xml:space="preserve"> (15th </w:t>
      </w:r>
      <w:proofErr w:type="gramStart"/>
      <w:r w:rsidRPr="00212B4A">
        <w:rPr>
          <w:color w:val="000000" w:themeColor="text1"/>
          <w:sz w:val="22"/>
          <w:szCs w:val="22"/>
        </w:rPr>
        <w:t>ed</w:t>
      </w:r>
      <w:proofErr w:type="gramEnd"/>
      <w:r w:rsidRPr="00212B4A">
        <w:rPr>
          <w:color w:val="000000" w:themeColor="text1"/>
          <w:sz w:val="22"/>
          <w:szCs w:val="22"/>
        </w:rPr>
        <w:t>.). Pearson.</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Fischer, F., &amp; van de Grift, L. (2022). Co-creating policies with citizen input: Addressing community needs effectively. Public Policy Review, 18(2), 251-268. </w:t>
      </w:r>
      <w:hyperlink r:id="rId20" w:history="1">
        <w:r w:rsidR="00DF031F" w:rsidRPr="006E4619">
          <w:rPr>
            <w:rStyle w:val="Hyperlink"/>
            <w:sz w:val="22"/>
            <w:szCs w:val="22"/>
          </w:rPr>
          <w:t>https://doi.org/10.1111/ppr.12489</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Fung, A. (2020)</w:t>
      </w:r>
      <w:r w:rsidRPr="00212B4A">
        <w:rPr>
          <w:b/>
          <w:color w:val="000000" w:themeColor="text1"/>
          <w:sz w:val="22"/>
          <w:szCs w:val="22"/>
        </w:rPr>
        <w:t>.</w:t>
      </w:r>
      <w:r w:rsidRPr="00212B4A">
        <w:rPr>
          <w:color w:val="000000" w:themeColor="text1"/>
          <w:sz w:val="22"/>
          <w:szCs w:val="22"/>
        </w:rPr>
        <w:t xml:space="preserve"> Putting the Public Back into Governance: The Challenges of Citizen Participation. </w:t>
      </w:r>
      <w:r w:rsidRPr="00212B4A">
        <w:rPr>
          <w:rStyle w:val="Emphasis"/>
          <w:color w:val="000000" w:themeColor="text1"/>
          <w:sz w:val="22"/>
          <w:szCs w:val="22"/>
        </w:rPr>
        <w:t>Perspectives on Politics, 18</w:t>
      </w:r>
      <w:r w:rsidRPr="00212B4A">
        <w:rPr>
          <w:color w:val="000000" w:themeColor="text1"/>
          <w:sz w:val="22"/>
          <w:szCs w:val="22"/>
        </w:rPr>
        <w:t xml:space="preserve">(1), 91-106. </w:t>
      </w:r>
      <w:hyperlink r:id="rId21" w:history="1">
        <w:r w:rsidR="00DF031F" w:rsidRPr="006E4619">
          <w:rPr>
            <w:rStyle w:val="Hyperlink"/>
            <w:sz w:val="22"/>
            <w:szCs w:val="22"/>
          </w:rPr>
          <w:t>https://doi.org/10.1017/S1537592719002722</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Fung, A. (2023). The role of citizen involvement in building public trust in government. Journal of Public Administration Research and Theory, 33(1), 75-92. </w:t>
      </w:r>
      <w:hyperlink r:id="rId22" w:history="1">
        <w:r w:rsidR="00DF031F" w:rsidRPr="006E4619">
          <w:rPr>
            <w:rStyle w:val="Hyperlink"/>
            <w:sz w:val="22"/>
            <w:szCs w:val="22"/>
          </w:rPr>
          <w:t>https://doi.org/10.1093/jopart/muab030</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Gonzalez, M., &amp; Li, J. (2022). Participatory models in public policy: Enhancing transparency and acceptance. Public Administration Review, 82(4), 623-635. </w:t>
      </w:r>
      <w:hyperlink r:id="rId23" w:history="1">
        <w:r w:rsidRPr="00212B4A">
          <w:rPr>
            <w:rStyle w:val="Hyperlink"/>
            <w:rFonts w:eastAsiaTheme="majorEastAsia"/>
            <w:sz w:val="22"/>
            <w:szCs w:val="22"/>
          </w:rPr>
          <w:t>https://doi.org/10.1111/puar.13456</w:t>
        </w:r>
      </w:hyperlink>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Gonzalez, M., et al. (2023). Community-backed initiatives and their sustainability: The role of citizen involvement. American Journal of Community Psychology, 71(1-2), 70-83. </w:t>
      </w:r>
      <w:hyperlink r:id="rId24" w:history="1">
        <w:r w:rsidR="00DF031F" w:rsidRPr="006E4619">
          <w:rPr>
            <w:rStyle w:val="Hyperlink"/>
            <w:sz w:val="22"/>
            <w:szCs w:val="22"/>
          </w:rPr>
          <w:t>https://doi.org/10.1002/ajcp.12657</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Harrison, R. (2023). Collaborative policy implementation: Reducing tensions through citizen engagement. Public Administration Review, 83(4), 612-628. </w:t>
      </w:r>
      <w:hyperlink r:id="rId25" w:history="1">
        <w:r w:rsidR="00DF031F" w:rsidRPr="006E4619">
          <w:rPr>
            <w:rStyle w:val="Hyperlink"/>
            <w:sz w:val="22"/>
            <w:szCs w:val="22"/>
          </w:rPr>
          <w:t>https://doi.org/10.1111/puar.13656</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Harrison, R., &amp; Smith, J. (2022). Citizen involvement in policy monitoring: Enhancing accountability and responsiveness. Governance, 35(3), 567-586. </w:t>
      </w:r>
      <w:hyperlink r:id="rId26" w:history="1">
        <w:r w:rsidR="00DF031F" w:rsidRPr="006E4619">
          <w:rPr>
            <w:rStyle w:val="Hyperlink"/>
            <w:sz w:val="22"/>
            <w:szCs w:val="22"/>
          </w:rPr>
          <w:t>https://doi.org/10.1111/gove.12667</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Harrison, R., Baird, H., &amp; Smith, J. (2023). Mixed-method approaches for evaluating policy implementation: Combining quantitative and qualitative data. Evaluation and Program Planning, 91, 101963. </w:t>
      </w:r>
      <w:hyperlink r:id="rId27" w:history="1">
        <w:r w:rsidR="00DF031F" w:rsidRPr="006E4619">
          <w:rPr>
            <w:rStyle w:val="Hyperlink"/>
            <w:sz w:val="22"/>
            <w:szCs w:val="22"/>
          </w:rPr>
          <w:t>https://doi.org/10.1016/j.evalprogplan.2023.101963</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Hill, M., &amp; </w:t>
      </w:r>
      <w:proofErr w:type="spellStart"/>
      <w:r w:rsidRPr="00DF031F">
        <w:rPr>
          <w:color w:val="000000" w:themeColor="text1"/>
          <w:sz w:val="22"/>
          <w:szCs w:val="22"/>
        </w:rPr>
        <w:t>Hupe</w:t>
      </w:r>
      <w:proofErr w:type="spellEnd"/>
      <w:r w:rsidRPr="00DF031F">
        <w:rPr>
          <w:color w:val="000000" w:themeColor="text1"/>
          <w:sz w:val="22"/>
          <w:szCs w:val="22"/>
        </w:rPr>
        <w:t xml:space="preserve">, P. (2022). Aligning resources and stakeholder engagement for effective policy implementation. Public Administration, 100(1), 23-39. </w:t>
      </w:r>
      <w:hyperlink r:id="rId28" w:history="1">
        <w:r w:rsidR="00DF031F" w:rsidRPr="006E4619">
          <w:rPr>
            <w:rStyle w:val="Hyperlink"/>
            <w:sz w:val="22"/>
            <w:szCs w:val="22"/>
          </w:rPr>
          <w:t>https://doi.org/10.1111/padm.12823</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Howlett</w:t>
      </w:r>
      <w:proofErr w:type="spellEnd"/>
      <w:r w:rsidRPr="00212B4A">
        <w:rPr>
          <w:rStyle w:val="Strong"/>
          <w:rFonts w:eastAsiaTheme="majorEastAsia"/>
          <w:b w:val="0"/>
          <w:sz w:val="22"/>
          <w:szCs w:val="22"/>
        </w:rPr>
        <w:t>, M., &amp; Mukherjee, I. (2021)</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Designing Public Policies: Principles and Instruments</w:t>
      </w:r>
      <w:r w:rsidRPr="00212B4A">
        <w:rPr>
          <w:color w:val="000000" w:themeColor="text1"/>
          <w:sz w:val="22"/>
          <w:szCs w:val="22"/>
        </w:rPr>
        <w:t xml:space="preserve">. </w:t>
      </w:r>
      <w:proofErr w:type="spellStart"/>
      <w:r w:rsidRPr="00212B4A">
        <w:rPr>
          <w:color w:val="000000" w:themeColor="text1"/>
          <w:sz w:val="22"/>
          <w:szCs w:val="22"/>
        </w:rPr>
        <w:t>Routledge</w:t>
      </w:r>
      <w:proofErr w:type="spellEnd"/>
      <w:r w:rsidRPr="00212B4A">
        <w:rPr>
          <w:color w:val="000000" w:themeColor="text1"/>
          <w:sz w:val="22"/>
          <w:szCs w:val="22"/>
        </w:rPr>
        <w:t>.</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Jenkins, A., &amp; Tran, L. (2022). Evaluating citizen engagement: Developing robust metrics for assessing policy impacts. Policy Studies Journal, 50(2), 295-313. </w:t>
      </w:r>
      <w:hyperlink r:id="rId29" w:history="1">
        <w:r w:rsidR="00DF031F" w:rsidRPr="006E4619">
          <w:rPr>
            <w:rStyle w:val="Hyperlink"/>
            <w:sz w:val="22"/>
            <w:szCs w:val="22"/>
          </w:rPr>
          <w:t>https://doi.org/10.1111/psj.12451</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rPr>
          <w:color w:val="000000" w:themeColor="text1"/>
          <w:sz w:val="22"/>
          <w:szCs w:val="22"/>
        </w:rPr>
      </w:pPr>
      <w:r w:rsidRPr="00212B4A">
        <w:rPr>
          <w:color w:val="000000" w:themeColor="text1"/>
          <w:sz w:val="22"/>
          <w:szCs w:val="22"/>
        </w:rPr>
        <w:t xml:space="preserve">Johnson, R., &amp; Lee, T. (2023). Strengthening accountability frameworks in public policy: The role of citizen engagement. International Journal of Public Administration, 46(3), 204-220. </w:t>
      </w:r>
      <w:hyperlink r:id="rId30" w:history="1">
        <w:r w:rsidR="00DF031F" w:rsidRPr="006E4619">
          <w:rPr>
            <w:rStyle w:val="Hyperlink"/>
            <w:sz w:val="22"/>
            <w:szCs w:val="22"/>
          </w:rPr>
          <w:t>https://doi.org/10.1080/01900692.2023.2138742</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Jones, A., Smith, B., &amp; Taylor, C. (2023). The relevance of rational models in contemporary decision-making. Journal of Decision Sciences, 45(2), 120-135. </w:t>
      </w:r>
      <w:hyperlink r:id="rId31" w:history="1">
        <w:r w:rsidR="00DF031F" w:rsidRPr="006E4619">
          <w:rPr>
            <w:rStyle w:val="Hyperlink"/>
            <w:sz w:val="22"/>
            <w:szCs w:val="22"/>
          </w:rPr>
          <w:t>https://doi.org/10.1016/j.jds.2023.03.005</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rPr>
          <w:color w:val="000000" w:themeColor="text1"/>
          <w:sz w:val="22"/>
          <w:szCs w:val="22"/>
        </w:rPr>
      </w:pPr>
      <w:r w:rsidRPr="00212B4A">
        <w:rPr>
          <w:color w:val="000000" w:themeColor="text1"/>
          <w:sz w:val="22"/>
          <w:szCs w:val="22"/>
        </w:rPr>
        <w:t xml:space="preserve">Khan, M., Patel, R., &amp; </w:t>
      </w:r>
      <w:proofErr w:type="spellStart"/>
      <w:r w:rsidRPr="00212B4A">
        <w:rPr>
          <w:color w:val="000000" w:themeColor="text1"/>
          <w:sz w:val="22"/>
          <w:szCs w:val="22"/>
        </w:rPr>
        <w:t>Iqbal</w:t>
      </w:r>
      <w:proofErr w:type="spellEnd"/>
      <w:r w:rsidRPr="00212B4A">
        <w:rPr>
          <w:color w:val="000000" w:themeColor="text1"/>
          <w:sz w:val="22"/>
          <w:szCs w:val="22"/>
        </w:rPr>
        <w:t xml:space="preserve">, J. (2023). Case studies of effective governance: Implementing transparency, inclusivity, and accountability. Public Administration Review, 83(2), 305-320. </w:t>
      </w:r>
      <w:hyperlink r:id="rId32" w:history="1">
        <w:r w:rsidR="00DF031F" w:rsidRPr="006E4619">
          <w:rPr>
            <w:rStyle w:val="Hyperlink"/>
            <w:sz w:val="22"/>
            <w:szCs w:val="22"/>
          </w:rPr>
          <w:t>https://doi.org/10.1111/puar.13478</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Kingdon</w:t>
      </w:r>
      <w:proofErr w:type="spellEnd"/>
      <w:r w:rsidRPr="00212B4A">
        <w:rPr>
          <w:rStyle w:val="Strong"/>
          <w:rFonts w:eastAsiaTheme="majorEastAsia"/>
          <w:b w:val="0"/>
          <w:sz w:val="22"/>
          <w:szCs w:val="22"/>
        </w:rPr>
        <w:t>, J. W. (2014)</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Agendas, Alternatives, and Public Policies</w:t>
      </w:r>
      <w:r w:rsidRPr="00212B4A">
        <w:rPr>
          <w:color w:val="000000" w:themeColor="text1"/>
          <w:sz w:val="22"/>
          <w:szCs w:val="22"/>
        </w:rPr>
        <w:t xml:space="preserve"> (2nd </w:t>
      </w:r>
      <w:proofErr w:type="gramStart"/>
      <w:r w:rsidRPr="00212B4A">
        <w:rPr>
          <w:color w:val="000000" w:themeColor="text1"/>
          <w:sz w:val="22"/>
          <w:szCs w:val="22"/>
        </w:rPr>
        <w:t>ed</w:t>
      </w:r>
      <w:proofErr w:type="gramEnd"/>
      <w:r w:rsidRPr="00212B4A">
        <w:rPr>
          <w:color w:val="000000" w:themeColor="text1"/>
          <w:sz w:val="22"/>
          <w:szCs w:val="22"/>
        </w:rPr>
        <w:t>.). Longman.</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Kraft, M. E., &amp; Furlong, S. R. (2020)</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Public Policy: Politics, Analysis, and Alternatives</w:t>
      </w:r>
      <w:r w:rsidRPr="00212B4A">
        <w:rPr>
          <w:color w:val="000000" w:themeColor="text1"/>
          <w:sz w:val="22"/>
          <w:szCs w:val="22"/>
        </w:rPr>
        <w:t xml:space="preserve"> (6th </w:t>
      </w:r>
      <w:proofErr w:type="gramStart"/>
      <w:r w:rsidRPr="00212B4A">
        <w:rPr>
          <w:color w:val="000000" w:themeColor="text1"/>
          <w:sz w:val="22"/>
          <w:szCs w:val="22"/>
        </w:rPr>
        <w:t>ed</w:t>
      </w:r>
      <w:proofErr w:type="gramEnd"/>
      <w:r w:rsidRPr="00212B4A">
        <w:rPr>
          <w:color w:val="000000" w:themeColor="text1"/>
          <w:sz w:val="22"/>
          <w:szCs w:val="22"/>
        </w:rPr>
        <w:t>.). CQ Press.</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proofErr w:type="spellStart"/>
      <w:r w:rsidRPr="00DF031F">
        <w:rPr>
          <w:color w:val="000000" w:themeColor="text1"/>
          <w:sz w:val="22"/>
          <w:szCs w:val="22"/>
        </w:rPr>
        <w:t>Mansuri</w:t>
      </w:r>
      <w:proofErr w:type="spellEnd"/>
      <w:r w:rsidRPr="00DF031F">
        <w:rPr>
          <w:color w:val="000000" w:themeColor="text1"/>
          <w:sz w:val="22"/>
          <w:szCs w:val="22"/>
        </w:rPr>
        <w:t xml:space="preserve">, G., &amp; </w:t>
      </w:r>
      <w:proofErr w:type="spellStart"/>
      <w:r w:rsidRPr="00DF031F">
        <w:rPr>
          <w:color w:val="000000" w:themeColor="text1"/>
          <w:sz w:val="22"/>
          <w:szCs w:val="22"/>
        </w:rPr>
        <w:t>Rao</w:t>
      </w:r>
      <w:proofErr w:type="spellEnd"/>
      <w:r w:rsidRPr="00DF031F">
        <w:rPr>
          <w:color w:val="000000" w:themeColor="text1"/>
          <w:sz w:val="22"/>
          <w:szCs w:val="22"/>
        </w:rPr>
        <w:t xml:space="preserve">, V. (2022). Evaluating policy implementation: The role of citizen monitoring in governance. World Development, 147, 105662. </w:t>
      </w:r>
      <w:hyperlink r:id="rId33" w:history="1">
        <w:r w:rsidR="00DF031F" w:rsidRPr="006E4619">
          <w:rPr>
            <w:rStyle w:val="Hyperlink"/>
            <w:sz w:val="22"/>
            <w:szCs w:val="22"/>
          </w:rPr>
          <w:t>https://doi.org/10.1016/j.worlddev.2021.105662</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Martin, K., &amp; Suzuki, H. (2023). Ethics in decision-making frameworks: Aligning with societal values. Journal of Business Ethics, 172(3), 459-475. </w:t>
      </w:r>
      <w:hyperlink r:id="rId34" w:history="1">
        <w:r w:rsidR="00DF031F" w:rsidRPr="006E4619">
          <w:rPr>
            <w:rStyle w:val="Hyperlink"/>
            <w:sz w:val="22"/>
            <w:szCs w:val="22"/>
          </w:rPr>
          <w:t>https://doi.org/10.1007/s10551-020-04576-1</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proofErr w:type="spellStart"/>
      <w:r w:rsidRPr="00DF031F">
        <w:rPr>
          <w:color w:val="000000" w:themeColor="text1"/>
          <w:sz w:val="22"/>
          <w:szCs w:val="22"/>
        </w:rPr>
        <w:t>Matland</w:t>
      </w:r>
      <w:proofErr w:type="spellEnd"/>
      <w:r w:rsidRPr="00DF031F">
        <w:rPr>
          <w:color w:val="000000" w:themeColor="text1"/>
          <w:sz w:val="22"/>
          <w:szCs w:val="22"/>
        </w:rPr>
        <w:t xml:space="preserve">, R. E. (2023). Political support and administrative capacity in policy implementation: Key variables for success. Policy Studies Journal, 51(2), 340-357. </w:t>
      </w:r>
      <w:hyperlink r:id="rId35" w:history="1">
        <w:r w:rsidR="00DF031F" w:rsidRPr="006E4619">
          <w:rPr>
            <w:rStyle w:val="Hyperlink"/>
            <w:sz w:val="22"/>
            <w:szCs w:val="22"/>
          </w:rPr>
          <w:t>https://doi.org/10.1111/psj.12450</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lastRenderedPageBreak/>
        <w:t xml:space="preserve">Meijer, A., </w:t>
      </w:r>
      <w:proofErr w:type="spellStart"/>
      <w:r w:rsidRPr="00212B4A">
        <w:rPr>
          <w:rStyle w:val="Strong"/>
          <w:rFonts w:eastAsiaTheme="majorEastAsia"/>
          <w:b w:val="0"/>
          <w:sz w:val="22"/>
          <w:szCs w:val="22"/>
        </w:rPr>
        <w:t>Koops</w:t>
      </w:r>
      <w:proofErr w:type="spellEnd"/>
      <w:r w:rsidRPr="00212B4A">
        <w:rPr>
          <w:rStyle w:val="Strong"/>
          <w:rFonts w:eastAsiaTheme="majorEastAsia"/>
          <w:b w:val="0"/>
          <w:sz w:val="22"/>
          <w:szCs w:val="22"/>
        </w:rPr>
        <w:t xml:space="preserve">, M., &amp; </w:t>
      </w:r>
      <w:proofErr w:type="spellStart"/>
      <w:r w:rsidRPr="00212B4A">
        <w:rPr>
          <w:rStyle w:val="Strong"/>
          <w:rFonts w:eastAsiaTheme="majorEastAsia"/>
          <w:b w:val="0"/>
          <w:sz w:val="22"/>
          <w:szCs w:val="22"/>
        </w:rPr>
        <w:t>Pieterson</w:t>
      </w:r>
      <w:proofErr w:type="spellEnd"/>
      <w:r w:rsidRPr="00212B4A">
        <w:rPr>
          <w:rStyle w:val="Strong"/>
          <w:rFonts w:eastAsiaTheme="majorEastAsia"/>
          <w:b w:val="0"/>
          <w:sz w:val="22"/>
          <w:szCs w:val="22"/>
        </w:rPr>
        <w:t>, W. (2022)</w:t>
      </w:r>
      <w:r w:rsidRPr="00212B4A">
        <w:rPr>
          <w:b/>
          <w:color w:val="000000" w:themeColor="text1"/>
          <w:sz w:val="22"/>
          <w:szCs w:val="22"/>
        </w:rPr>
        <w:t>.</w:t>
      </w:r>
      <w:r w:rsidRPr="00212B4A">
        <w:rPr>
          <w:color w:val="000000" w:themeColor="text1"/>
          <w:sz w:val="22"/>
          <w:szCs w:val="22"/>
        </w:rPr>
        <w:t xml:space="preserve"> Digital tools for public participation: Opportunities and challenges. </w:t>
      </w:r>
      <w:r w:rsidRPr="00212B4A">
        <w:rPr>
          <w:rStyle w:val="Emphasis"/>
          <w:color w:val="000000" w:themeColor="text1"/>
          <w:sz w:val="22"/>
          <w:szCs w:val="22"/>
        </w:rPr>
        <w:t>Government Information Quarterly, 39</w:t>
      </w:r>
      <w:r w:rsidRPr="00212B4A">
        <w:rPr>
          <w:color w:val="000000" w:themeColor="text1"/>
          <w:sz w:val="22"/>
          <w:szCs w:val="22"/>
        </w:rPr>
        <w:t xml:space="preserve">(2), 101558. </w:t>
      </w:r>
      <w:hyperlink r:id="rId36" w:history="1">
        <w:r w:rsidR="00DF031F" w:rsidRPr="006E4619">
          <w:rPr>
            <w:rStyle w:val="Hyperlink"/>
            <w:sz w:val="22"/>
            <w:szCs w:val="22"/>
          </w:rPr>
          <w:t>https://doi.org/10.1016/j.giq.2021.101558</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rPr>
          <w:color w:val="000000" w:themeColor="text1"/>
          <w:sz w:val="22"/>
          <w:szCs w:val="22"/>
        </w:rPr>
      </w:pPr>
      <w:proofErr w:type="spellStart"/>
      <w:r w:rsidRPr="00212B4A">
        <w:rPr>
          <w:rStyle w:val="Strong"/>
          <w:rFonts w:eastAsiaTheme="majorEastAsia"/>
          <w:b w:val="0"/>
          <w:sz w:val="22"/>
          <w:szCs w:val="22"/>
        </w:rPr>
        <w:t>Mergel</w:t>
      </w:r>
      <w:proofErr w:type="spellEnd"/>
      <w:r w:rsidRPr="00212B4A">
        <w:rPr>
          <w:rStyle w:val="Strong"/>
          <w:rFonts w:eastAsiaTheme="majorEastAsia"/>
          <w:b w:val="0"/>
          <w:sz w:val="22"/>
          <w:szCs w:val="22"/>
        </w:rPr>
        <w:t>, I. (2013)</w:t>
      </w:r>
      <w:r w:rsidRPr="00212B4A">
        <w:rPr>
          <w:b/>
          <w:color w:val="000000" w:themeColor="text1"/>
          <w:sz w:val="22"/>
          <w:szCs w:val="22"/>
        </w:rPr>
        <w:t>.</w:t>
      </w:r>
      <w:r w:rsidRPr="00212B4A">
        <w:rPr>
          <w:color w:val="000000" w:themeColor="text1"/>
          <w:sz w:val="22"/>
          <w:szCs w:val="22"/>
        </w:rPr>
        <w:t xml:space="preserve"> Social media in the public sector: A guide to participation, collaboration, and transparency in the networked world. </w:t>
      </w:r>
      <w:r w:rsidRPr="00212B4A">
        <w:rPr>
          <w:rStyle w:val="Emphasis"/>
          <w:color w:val="000000" w:themeColor="text1"/>
          <w:sz w:val="22"/>
          <w:szCs w:val="22"/>
        </w:rPr>
        <w:t>Digital Government: Research and Practice, 1</w:t>
      </w:r>
      <w:r w:rsidRPr="00212B4A">
        <w:rPr>
          <w:color w:val="000000" w:themeColor="text1"/>
          <w:sz w:val="22"/>
          <w:szCs w:val="22"/>
        </w:rPr>
        <w:t xml:space="preserve">(1), 1-13. </w:t>
      </w:r>
      <w:hyperlink r:id="rId37" w:history="1">
        <w:r w:rsidR="00DF031F" w:rsidRPr="006E4619">
          <w:rPr>
            <w:rStyle w:val="Hyperlink"/>
            <w:sz w:val="22"/>
            <w:szCs w:val="22"/>
          </w:rPr>
          <w:t>https://doi.org/10.1145/2512712.2512714</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color w:val="000000" w:themeColor="text1"/>
          <w:sz w:val="22"/>
          <w:szCs w:val="22"/>
        </w:rPr>
        <w:t>Moghalu</w:t>
      </w:r>
      <w:proofErr w:type="spellEnd"/>
      <w:r w:rsidRPr="00212B4A">
        <w:rPr>
          <w:color w:val="000000" w:themeColor="text1"/>
          <w:sz w:val="22"/>
          <w:szCs w:val="22"/>
        </w:rPr>
        <w:t xml:space="preserve">, C., </w:t>
      </w:r>
      <w:proofErr w:type="spellStart"/>
      <w:r w:rsidRPr="00212B4A">
        <w:rPr>
          <w:color w:val="000000" w:themeColor="text1"/>
          <w:sz w:val="22"/>
          <w:szCs w:val="22"/>
        </w:rPr>
        <w:t>Ogunbiyi</w:t>
      </w:r>
      <w:proofErr w:type="spellEnd"/>
      <w:r w:rsidRPr="00212B4A">
        <w:rPr>
          <w:color w:val="000000" w:themeColor="text1"/>
          <w:sz w:val="22"/>
          <w:szCs w:val="22"/>
        </w:rPr>
        <w:t xml:space="preserve">, S., &amp; </w:t>
      </w:r>
      <w:proofErr w:type="spellStart"/>
      <w:r w:rsidRPr="00212B4A">
        <w:rPr>
          <w:color w:val="000000" w:themeColor="text1"/>
          <w:sz w:val="22"/>
          <w:szCs w:val="22"/>
        </w:rPr>
        <w:t>Abiola</w:t>
      </w:r>
      <w:proofErr w:type="spellEnd"/>
      <w:r w:rsidRPr="00212B4A">
        <w:rPr>
          <w:color w:val="000000" w:themeColor="text1"/>
          <w:sz w:val="22"/>
          <w:szCs w:val="22"/>
        </w:rPr>
        <w:t xml:space="preserve">, A. (2022). Inclusivity in policymaking: Addressing systemic inequalities and fostering social cohesion. Public Policy and Administration, 37(4), 512-528. </w:t>
      </w:r>
      <w:hyperlink r:id="rId38" w:history="1">
        <w:r w:rsidR="00DF031F" w:rsidRPr="006E4619">
          <w:rPr>
            <w:rStyle w:val="Hyperlink"/>
            <w:sz w:val="22"/>
            <w:szCs w:val="22"/>
          </w:rPr>
          <w:t>https://doi.org/10.1177/09520767211058431</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Nabatchi</w:t>
      </w:r>
      <w:proofErr w:type="spellEnd"/>
      <w:r w:rsidRPr="00212B4A">
        <w:rPr>
          <w:rStyle w:val="Strong"/>
          <w:rFonts w:eastAsiaTheme="majorEastAsia"/>
          <w:b w:val="0"/>
          <w:sz w:val="22"/>
          <w:szCs w:val="22"/>
        </w:rPr>
        <w:t xml:space="preserve">, T., &amp; </w:t>
      </w:r>
      <w:proofErr w:type="spellStart"/>
      <w:r w:rsidRPr="00212B4A">
        <w:rPr>
          <w:rStyle w:val="Strong"/>
          <w:rFonts w:eastAsiaTheme="majorEastAsia"/>
          <w:b w:val="0"/>
          <w:sz w:val="22"/>
          <w:szCs w:val="22"/>
        </w:rPr>
        <w:t>Leighninger</w:t>
      </w:r>
      <w:proofErr w:type="spellEnd"/>
      <w:r w:rsidRPr="00212B4A">
        <w:rPr>
          <w:rStyle w:val="Strong"/>
          <w:rFonts w:eastAsiaTheme="majorEastAsia"/>
          <w:b w:val="0"/>
          <w:sz w:val="22"/>
          <w:szCs w:val="22"/>
        </w:rPr>
        <w:t>, M. (2015)</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Public Participation for 21st Century Democracy</w:t>
      </w:r>
      <w:r w:rsidRPr="00212B4A">
        <w:rPr>
          <w:color w:val="000000" w:themeColor="text1"/>
          <w:sz w:val="22"/>
          <w:szCs w:val="22"/>
        </w:rPr>
        <w:t xml:space="preserve">. </w:t>
      </w:r>
      <w:proofErr w:type="spellStart"/>
      <w:r w:rsidRPr="00212B4A">
        <w:rPr>
          <w:color w:val="000000" w:themeColor="text1"/>
          <w:sz w:val="22"/>
          <w:szCs w:val="22"/>
        </w:rPr>
        <w:t>Jossey</w:t>
      </w:r>
      <w:proofErr w:type="spellEnd"/>
      <w:r w:rsidRPr="00212B4A">
        <w:rPr>
          <w:color w:val="000000" w:themeColor="text1"/>
          <w:sz w:val="22"/>
          <w:szCs w:val="22"/>
        </w:rPr>
        <w:t>-Bass.</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proofErr w:type="spellStart"/>
      <w:r w:rsidRPr="00212B4A">
        <w:rPr>
          <w:rStyle w:val="Strong"/>
          <w:rFonts w:eastAsiaTheme="majorEastAsia"/>
          <w:b w:val="0"/>
          <w:sz w:val="22"/>
          <w:szCs w:val="22"/>
        </w:rPr>
        <w:t>Nabatchi</w:t>
      </w:r>
      <w:proofErr w:type="spellEnd"/>
      <w:r w:rsidRPr="00212B4A">
        <w:rPr>
          <w:rStyle w:val="Strong"/>
          <w:rFonts w:eastAsiaTheme="majorEastAsia"/>
          <w:b w:val="0"/>
          <w:sz w:val="22"/>
          <w:szCs w:val="22"/>
        </w:rPr>
        <w:t xml:space="preserve">, T., &amp; </w:t>
      </w:r>
      <w:proofErr w:type="spellStart"/>
      <w:r w:rsidRPr="00212B4A">
        <w:rPr>
          <w:rStyle w:val="Strong"/>
          <w:rFonts w:eastAsiaTheme="majorEastAsia"/>
          <w:b w:val="0"/>
          <w:sz w:val="22"/>
          <w:szCs w:val="22"/>
        </w:rPr>
        <w:t>Leighninger</w:t>
      </w:r>
      <w:proofErr w:type="spellEnd"/>
      <w:r w:rsidRPr="00212B4A">
        <w:rPr>
          <w:rStyle w:val="Strong"/>
          <w:rFonts w:eastAsiaTheme="majorEastAsia"/>
          <w:b w:val="0"/>
          <w:sz w:val="22"/>
          <w:szCs w:val="22"/>
        </w:rPr>
        <w:t>, M. (2015)</w:t>
      </w:r>
      <w:r w:rsidRPr="00212B4A">
        <w:rPr>
          <w:color w:val="000000" w:themeColor="text1"/>
          <w:sz w:val="22"/>
          <w:szCs w:val="22"/>
        </w:rPr>
        <w:t xml:space="preserve">. </w:t>
      </w:r>
      <w:r w:rsidRPr="00212B4A">
        <w:rPr>
          <w:rStyle w:val="Emphasis"/>
          <w:color w:val="000000" w:themeColor="text1"/>
          <w:sz w:val="22"/>
          <w:szCs w:val="22"/>
        </w:rPr>
        <w:t>Public Participation for 21st Century Democracy</w:t>
      </w:r>
      <w:r w:rsidRPr="00212B4A">
        <w:rPr>
          <w:color w:val="000000" w:themeColor="text1"/>
          <w:sz w:val="22"/>
          <w:szCs w:val="22"/>
        </w:rPr>
        <w:t xml:space="preserve">. </w:t>
      </w:r>
      <w:proofErr w:type="spellStart"/>
      <w:r w:rsidRPr="00212B4A">
        <w:rPr>
          <w:color w:val="000000" w:themeColor="text1"/>
          <w:sz w:val="22"/>
          <w:szCs w:val="22"/>
        </w:rPr>
        <w:t>Jossey</w:t>
      </w:r>
      <w:proofErr w:type="spellEnd"/>
      <w:r w:rsidRPr="00212B4A">
        <w:rPr>
          <w:color w:val="000000" w:themeColor="text1"/>
          <w:sz w:val="22"/>
          <w:szCs w:val="22"/>
        </w:rPr>
        <w:t>-Bass.</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Olsen, J. P., &amp; Darnell, A. (2022). Challenges in policy implementation and evaluation: Strategies for overcoming obstacles. Journal of Public Policy, 42(3), 269-286. https://doi.org/10.1017/S0143814X22000258</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proofErr w:type="spellStart"/>
      <w:r w:rsidRPr="00DF031F">
        <w:rPr>
          <w:color w:val="000000" w:themeColor="text1"/>
          <w:sz w:val="22"/>
          <w:szCs w:val="22"/>
        </w:rPr>
        <w:t>Pawson</w:t>
      </w:r>
      <w:proofErr w:type="spellEnd"/>
      <w:r w:rsidRPr="00DF031F">
        <w:rPr>
          <w:color w:val="000000" w:themeColor="text1"/>
          <w:sz w:val="22"/>
          <w:szCs w:val="22"/>
        </w:rPr>
        <w:t xml:space="preserve">, R., &amp; Tilley, N. (2023). Best practices for policy implementation and evaluation: Case studies and lessons learned. Evaluation, 29(2), 129-144. </w:t>
      </w:r>
      <w:hyperlink r:id="rId39" w:history="1">
        <w:r w:rsidR="00DF031F" w:rsidRPr="006E4619">
          <w:rPr>
            <w:rStyle w:val="Hyperlink"/>
            <w:sz w:val="22"/>
            <w:szCs w:val="22"/>
          </w:rPr>
          <w:t>https://doi.org/10.1177/13563890221004011</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Peters, B. G., &amp; Tseng, Y. (2023). The value of citizen feedback in policy adaptation: Informing decision-making through community insights. Policy Studies Journal, 51(1), 153-171. </w:t>
      </w:r>
      <w:hyperlink r:id="rId40" w:history="1">
        <w:r w:rsidR="00DF031F" w:rsidRPr="006E4619">
          <w:rPr>
            <w:rStyle w:val="Hyperlink"/>
            <w:sz w:val="22"/>
            <w:szCs w:val="22"/>
          </w:rPr>
          <w:t>https://doi.org/10.1111/psj.12475</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Putnam, R. D. (2000)</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Bowling Alone: The Collapse and Revival of American Community</w:t>
      </w:r>
      <w:r w:rsidRPr="00212B4A">
        <w:rPr>
          <w:color w:val="000000" w:themeColor="text1"/>
          <w:sz w:val="22"/>
          <w:szCs w:val="22"/>
        </w:rPr>
        <w:t>. Simon &amp; Schuster.</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Rojas, C., &amp; Salas, M. (2022). Capacity building through citizen participation in governance: Fostering civic responsibility. Journal of Community Engagement and Scholarship, 15(3), 40-55. </w:t>
      </w:r>
      <w:hyperlink r:id="rId41" w:history="1">
        <w:r w:rsidR="00DF031F" w:rsidRPr="006E4619">
          <w:rPr>
            <w:rStyle w:val="Hyperlink"/>
            <w:sz w:val="22"/>
            <w:szCs w:val="22"/>
          </w:rPr>
          <w:t>https://doi.org/10.2139/ssrn.3791946</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Rojas, C., et al. (2023). The impact of citizen participation on environmental policy effectiveness: Case studies and insights. Environmental Policy and Governance, 33(4), 295-310. </w:t>
      </w:r>
      <w:hyperlink r:id="rId42" w:history="1">
        <w:r w:rsidR="00DF031F" w:rsidRPr="006E4619">
          <w:rPr>
            <w:rStyle w:val="Hyperlink"/>
            <w:sz w:val="22"/>
            <w:szCs w:val="22"/>
          </w:rPr>
          <w:t>https://doi.org/10.1002/eet.1973</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 xml:space="preserve">Sabatier, P. A., &amp; </w:t>
      </w:r>
      <w:proofErr w:type="spellStart"/>
      <w:r w:rsidRPr="00212B4A">
        <w:rPr>
          <w:rStyle w:val="Strong"/>
          <w:rFonts w:eastAsiaTheme="majorEastAsia"/>
          <w:b w:val="0"/>
          <w:sz w:val="22"/>
          <w:szCs w:val="22"/>
        </w:rPr>
        <w:t>Weible</w:t>
      </w:r>
      <w:proofErr w:type="spellEnd"/>
      <w:r w:rsidRPr="00212B4A">
        <w:rPr>
          <w:rStyle w:val="Strong"/>
          <w:rFonts w:eastAsiaTheme="majorEastAsia"/>
          <w:b w:val="0"/>
          <w:sz w:val="22"/>
          <w:szCs w:val="22"/>
        </w:rPr>
        <w:t>, C. M. (2014)</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Theories of the Policy Process</w:t>
      </w:r>
      <w:r w:rsidRPr="00212B4A">
        <w:rPr>
          <w:color w:val="000000" w:themeColor="text1"/>
          <w:sz w:val="22"/>
          <w:szCs w:val="22"/>
        </w:rPr>
        <w:t xml:space="preserve"> (3rd </w:t>
      </w:r>
      <w:proofErr w:type="gramStart"/>
      <w:r w:rsidRPr="00212B4A">
        <w:rPr>
          <w:color w:val="000000" w:themeColor="text1"/>
          <w:sz w:val="22"/>
          <w:szCs w:val="22"/>
        </w:rPr>
        <w:t>ed</w:t>
      </w:r>
      <w:proofErr w:type="gramEnd"/>
      <w:r w:rsidRPr="00212B4A">
        <w:rPr>
          <w:color w:val="000000" w:themeColor="text1"/>
          <w:sz w:val="22"/>
          <w:szCs w:val="22"/>
        </w:rPr>
        <w:t>.). Westview Press.</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rStyle w:val="Strong"/>
          <w:rFonts w:eastAsiaTheme="majorEastAsia"/>
          <w:b w:val="0"/>
          <w:sz w:val="22"/>
          <w:szCs w:val="22"/>
        </w:rPr>
        <w:t xml:space="preserve">Sabatier, P. A., &amp; </w:t>
      </w:r>
      <w:proofErr w:type="spellStart"/>
      <w:r w:rsidRPr="00212B4A">
        <w:rPr>
          <w:rStyle w:val="Strong"/>
          <w:rFonts w:eastAsiaTheme="majorEastAsia"/>
          <w:b w:val="0"/>
          <w:sz w:val="22"/>
          <w:szCs w:val="22"/>
        </w:rPr>
        <w:t>Weible</w:t>
      </w:r>
      <w:proofErr w:type="spellEnd"/>
      <w:r w:rsidRPr="00212B4A">
        <w:rPr>
          <w:rStyle w:val="Strong"/>
          <w:rFonts w:eastAsiaTheme="majorEastAsia"/>
          <w:b w:val="0"/>
          <w:sz w:val="22"/>
          <w:szCs w:val="22"/>
        </w:rPr>
        <w:t>, C. M. (2022)</w:t>
      </w:r>
      <w:r w:rsidRPr="00212B4A">
        <w:rPr>
          <w:b/>
          <w:color w:val="000000" w:themeColor="text1"/>
          <w:sz w:val="22"/>
          <w:szCs w:val="22"/>
        </w:rPr>
        <w:t>.</w:t>
      </w:r>
      <w:r w:rsidRPr="00212B4A">
        <w:rPr>
          <w:color w:val="000000" w:themeColor="text1"/>
          <w:sz w:val="22"/>
          <w:szCs w:val="22"/>
        </w:rPr>
        <w:t xml:space="preserve"> </w:t>
      </w:r>
      <w:r w:rsidRPr="00212B4A">
        <w:rPr>
          <w:rStyle w:val="Emphasis"/>
          <w:color w:val="000000" w:themeColor="text1"/>
          <w:sz w:val="22"/>
          <w:szCs w:val="22"/>
        </w:rPr>
        <w:t>Theories of the Policy Process</w:t>
      </w:r>
      <w:r w:rsidRPr="00212B4A">
        <w:rPr>
          <w:color w:val="000000" w:themeColor="text1"/>
          <w:sz w:val="22"/>
          <w:szCs w:val="22"/>
        </w:rPr>
        <w:t xml:space="preserve"> (4th </w:t>
      </w:r>
      <w:proofErr w:type="gramStart"/>
      <w:r w:rsidRPr="00212B4A">
        <w:rPr>
          <w:color w:val="000000" w:themeColor="text1"/>
          <w:sz w:val="22"/>
          <w:szCs w:val="22"/>
        </w:rPr>
        <w:t>ed</w:t>
      </w:r>
      <w:proofErr w:type="gramEnd"/>
      <w:r w:rsidRPr="00212B4A">
        <w:rPr>
          <w:color w:val="000000" w:themeColor="text1"/>
          <w:sz w:val="22"/>
          <w:szCs w:val="22"/>
        </w:rPr>
        <w:t>.). Westview Press.</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Schnell, A., &amp; </w:t>
      </w:r>
      <w:proofErr w:type="spellStart"/>
      <w:r w:rsidRPr="00212B4A">
        <w:rPr>
          <w:color w:val="000000" w:themeColor="text1"/>
          <w:sz w:val="22"/>
          <w:szCs w:val="22"/>
        </w:rPr>
        <w:t>Khanna</w:t>
      </w:r>
      <w:proofErr w:type="spellEnd"/>
      <w:r w:rsidRPr="00212B4A">
        <w:rPr>
          <w:color w:val="000000" w:themeColor="text1"/>
          <w:sz w:val="22"/>
          <w:szCs w:val="22"/>
        </w:rPr>
        <w:t xml:space="preserve">, S. (2023). The role of open data initiatives in enhancing transparency and public trust. Journal of Policy Analysis and Management, 42(2), 345-360. </w:t>
      </w:r>
      <w:hyperlink r:id="rId43" w:history="1">
        <w:r w:rsidR="00DF031F" w:rsidRPr="006E4619">
          <w:rPr>
            <w:rStyle w:val="Hyperlink"/>
            <w:sz w:val="22"/>
            <w:szCs w:val="22"/>
          </w:rPr>
          <w:t>https://doi.org/10.1002/pam.22499</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Smith, J., &amp; Brown, T. (2023). Collective intelligence in policy making: Harnessing community perspectives for innovative solutions. Policy Sciences, 56(2), 255-274. </w:t>
      </w:r>
      <w:hyperlink r:id="rId44" w:history="1">
        <w:r w:rsidR="00DF031F" w:rsidRPr="006E4619">
          <w:rPr>
            <w:rStyle w:val="Hyperlink"/>
            <w:sz w:val="22"/>
            <w:szCs w:val="22"/>
          </w:rPr>
          <w:t>https://doi.org/10.1007/s11077-023-09658-x</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Thomas, M., et al. (2023). The digital transformation of citizen engagement: Opportunities and challenges. Journal of Digital Governance, 5(1), 1-18. </w:t>
      </w:r>
      <w:hyperlink r:id="rId45" w:history="1">
        <w:r w:rsidR="00DF031F" w:rsidRPr="006E4619">
          <w:rPr>
            <w:rStyle w:val="Hyperlink"/>
            <w:sz w:val="22"/>
            <w:szCs w:val="22"/>
          </w:rPr>
          <w:t>https://doi.org/10.1177/26324313231103567</w:t>
        </w:r>
      </w:hyperlink>
      <w:r w:rsidR="00DF031F">
        <w:rPr>
          <w:color w:val="000000" w:themeColor="text1"/>
          <w:sz w:val="22"/>
          <w:szCs w:val="22"/>
        </w:rPr>
        <w:t xml:space="preserve"> </w:t>
      </w:r>
    </w:p>
    <w:p w:rsidR="00212B4A" w:rsidRPr="00DF031F" w:rsidRDefault="00212B4A" w:rsidP="00DF031F">
      <w:pPr>
        <w:pStyle w:val="ListParagraph"/>
        <w:numPr>
          <w:ilvl w:val="0"/>
          <w:numId w:val="38"/>
        </w:numPr>
        <w:spacing w:before="0" w:beforeAutospacing="0" w:after="0" w:afterAutospacing="0" w:line="240" w:lineRule="auto"/>
        <w:jc w:val="both"/>
        <w:rPr>
          <w:color w:val="000000" w:themeColor="text1"/>
          <w:sz w:val="22"/>
          <w:szCs w:val="22"/>
        </w:rPr>
      </w:pPr>
      <w:r w:rsidRPr="00DF031F">
        <w:rPr>
          <w:color w:val="000000" w:themeColor="text1"/>
          <w:sz w:val="22"/>
          <w:szCs w:val="22"/>
        </w:rPr>
        <w:t xml:space="preserve">Weiss, C. H., &amp; </w:t>
      </w:r>
      <w:proofErr w:type="spellStart"/>
      <w:r w:rsidRPr="00DF031F">
        <w:rPr>
          <w:color w:val="000000" w:themeColor="text1"/>
          <w:sz w:val="22"/>
          <w:szCs w:val="22"/>
        </w:rPr>
        <w:t>Tschirgi</w:t>
      </w:r>
      <w:proofErr w:type="spellEnd"/>
      <w:r w:rsidRPr="00DF031F">
        <w:rPr>
          <w:color w:val="000000" w:themeColor="text1"/>
          <w:sz w:val="22"/>
          <w:szCs w:val="22"/>
        </w:rPr>
        <w:t xml:space="preserve">, N. (2022). The role of evaluation in policy implementation: Integrating feedback for future adjustments. American Journal of Evaluation, 43(4), 456-473. </w:t>
      </w:r>
      <w:hyperlink r:id="rId46" w:history="1">
        <w:r w:rsidR="00DF031F" w:rsidRPr="006E4619">
          <w:rPr>
            <w:rStyle w:val="Hyperlink"/>
            <w:sz w:val="22"/>
            <w:szCs w:val="22"/>
          </w:rPr>
          <w:t>https://doi.org/10.1177/10982140221093758</w:t>
        </w:r>
      </w:hyperlink>
      <w:r w:rsidR="00DF031F">
        <w:rPr>
          <w:color w:val="000000" w:themeColor="text1"/>
          <w:sz w:val="22"/>
          <w:szCs w:val="22"/>
        </w:rPr>
        <w:t xml:space="preserve"> </w:t>
      </w:r>
    </w:p>
    <w:p w:rsidR="00212B4A" w:rsidRPr="00212B4A" w:rsidRDefault="00212B4A" w:rsidP="00DF031F">
      <w:pPr>
        <w:pStyle w:val="NormalWeb"/>
        <w:numPr>
          <w:ilvl w:val="0"/>
          <w:numId w:val="38"/>
        </w:numPr>
        <w:spacing w:before="0" w:beforeAutospacing="0" w:after="0" w:afterAutospacing="0"/>
        <w:jc w:val="both"/>
        <w:rPr>
          <w:color w:val="000000" w:themeColor="text1"/>
          <w:sz w:val="22"/>
          <w:szCs w:val="22"/>
        </w:rPr>
      </w:pPr>
      <w:r w:rsidRPr="00212B4A">
        <w:rPr>
          <w:color w:val="000000" w:themeColor="text1"/>
          <w:sz w:val="22"/>
          <w:szCs w:val="22"/>
        </w:rPr>
        <w:t xml:space="preserve">Williams, R., Johnson, T., &amp; Martinez, P. (2022). The role of AI and big data in decision-making processes. International Journal of Information Management, 62, 102449. </w:t>
      </w:r>
      <w:hyperlink r:id="rId47" w:history="1">
        <w:r w:rsidR="00DF031F" w:rsidRPr="006E4619">
          <w:rPr>
            <w:rStyle w:val="Hyperlink"/>
            <w:sz w:val="22"/>
            <w:szCs w:val="22"/>
          </w:rPr>
          <w:t>https://doi.org/10.1016/j.ijinfomgt.2022.102449</w:t>
        </w:r>
      </w:hyperlink>
      <w:r w:rsidR="00DF031F">
        <w:rPr>
          <w:color w:val="000000" w:themeColor="text1"/>
          <w:sz w:val="22"/>
          <w:szCs w:val="22"/>
        </w:rPr>
        <w:t xml:space="preserve"> </w:t>
      </w:r>
    </w:p>
    <w:p w:rsidR="00212B4A" w:rsidRPr="00212B4A" w:rsidRDefault="00212B4A" w:rsidP="00212B4A">
      <w:pPr>
        <w:spacing w:before="0" w:beforeAutospacing="0" w:after="0" w:afterAutospacing="0" w:line="240" w:lineRule="auto"/>
        <w:ind w:left="0" w:firstLine="0"/>
        <w:jc w:val="both"/>
        <w:rPr>
          <w:sz w:val="22"/>
          <w:szCs w:val="22"/>
        </w:rPr>
      </w:pPr>
    </w:p>
    <w:sectPr w:rsidR="00212B4A" w:rsidRPr="00212B4A" w:rsidSect="00410AE7">
      <w:headerReference w:type="even" r:id="rId48"/>
      <w:headerReference w:type="default" r:id="rId49"/>
      <w:footerReference w:type="default" r:id="rId50"/>
      <w:headerReference w:type="first" r:id="rId51"/>
      <w:pgSz w:w="11906" w:h="16838"/>
      <w:pgMar w:top="545" w:right="566" w:bottom="360" w:left="567" w:header="281" w:footer="115" w:gutter="0"/>
      <w:pgNumType w:start="1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7EC" w:rsidRDefault="000527EC" w:rsidP="005C01A0">
      <w:pPr>
        <w:spacing w:before="0" w:after="0" w:line="240" w:lineRule="auto"/>
      </w:pPr>
      <w:r>
        <w:separator/>
      </w:r>
    </w:p>
  </w:endnote>
  <w:endnote w:type="continuationSeparator" w:id="0">
    <w:p w:rsidR="000527EC" w:rsidRDefault="000527EC" w:rsidP="005C01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916091034"/>
      <w:docPartObj>
        <w:docPartGallery w:val="Page Numbers (Bottom of Page)"/>
        <w:docPartUnique/>
      </w:docPartObj>
    </w:sdtPr>
    <w:sdtEndPr>
      <w:rPr>
        <w:color w:val="808080" w:themeColor="background1" w:themeShade="80"/>
        <w:spacing w:val="60"/>
      </w:rPr>
    </w:sdtEndPr>
    <w:sdtContent>
      <w:p w:rsidR="006A51A6" w:rsidRPr="00260E59" w:rsidRDefault="000105D8" w:rsidP="00260E59">
        <w:pPr>
          <w:pStyle w:val="Footer"/>
          <w:pBdr>
            <w:top w:val="single" w:sz="4" w:space="0" w:color="4BACC6" w:themeColor="accent5"/>
          </w:pBdr>
          <w:jc w:val="right"/>
          <w:rPr>
            <w:sz w:val="20"/>
          </w:rPr>
        </w:pPr>
        <w:r w:rsidRPr="00316F0C">
          <w:rPr>
            <w:b/>
            <w:color w:val="0070C0"/>
            <w:sz w:val="20"/>
          </w:rPr>
          <w:fldChar w:fldCharType="begin"/>
        </w:r>
        <w:r w:rsidRPr="00316F0C">
          <w:rPr>
            <w:b/>
            <w:color w:val="0070C0"/>
            <w:sz w:val="20"/>
          </w:rPr>
          <w:instrText xml:space="preserve"> PAGE   \* MERGEFORMAT </w:instrText>
        </w:r>
        <w:r w:rsidRPr="00316F0C">
          <w:rPr>
            <w:b/>
            <w:color w:val="0070C0"/>
            <w:sz w:val="20"/>
          </w:rPr>
          <w:fldChar w:fldCharType="separate"/>
        </w:r>
        <w:r w:rsidR="00410AE7">
          <w:rPr>
            <w:b/>
            <w:noProof/>
            <w:color w:val="0070C0"/>
            <w:sz w:val="20"/>
          </w:rPr>
          <w:t>101</w:t>
        </w:r>
        <w:r w:rsidRPr="00316F0C">
          <w:rPr>
            <w:b/>
            <w:noProof/>
            <w:color w:val="0070C0"/>
            <w:sz w:val="20"/>
          </w:rPr>
          <w:fldChar w:fldCharType="end"/>
        </w:r>
        <w:r w:rsidRPr="000105D8">
          <w:rPr>
            <w:sz w:val="20"/>
          </w:rPr>
          <w:t xml:space="preserve"> | </w:t>
        </w:r>
        <w:r w:rsidRPr="000105D8">
          <w:rPr>
            <w:color w:val="808080" w:themeColor="background1" w:themeShade="80"/>
            <w:spacing w:val="60"/>
            <w:sz w:val="2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7EC" w:rsidRDefault="000527EC" w:rsidP="005C01A0">
      <w:pPr>
        <w:spacing w:before="0" w:after="0" w:line="240" w:lineRule="auto"/>
      </w:pPr>
      <w:r>
        <w:separator/>
      </w:r>
    </w:p>
  </w:footnote>
  <w:footnote w:type="continuationSeparator" w:id="0">
    <w:p w:rsidR="000527EC" w:rsidRDefault="000527EC" w:rsidP="005C01A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1A6" w:rsidRDefault="000527E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472280" o:spid="_x0000_s2059" type="#_x0000_t75" style="position:absolute;left:0;text-align:left;margin-left:0;margin-top:0;width:208.55pt;height:192.7pt;z-index:-251650048;mso-position-horizontal:center;mso-position-horizontal-relative:margin;mso-position-vertical:center;mso-position-vertical-relative:margin" o:allowincell="f">
          <v:imagedata r:id="rId1" o:title="ZKDX Logo FH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1A6" w:rsidRPr="00316F0C" w:rsidRDefault="000527EC" w:rsidP="00316F0C">
    <w:pPr>
      <w:pStyle w:val="Header"/>
      <w:pBdr>
        <w:bottom w:val="single" w:sz="4" w:space="1" w:color="4BACC6" w:themeColor="accent5"/>
      </w:pBdr>
      <w:ind w:left="0" w:right="63" w:firstLine="0"/>
      <w:jc w:val="right"/>
      <w:rPr>
        <w:rFonts w:asciiTheme="minorHAnsi" w:hAnsiTheme="minorHAnsi" w:cstheme="minorHAnsi"/>
        <w:color w:val="0070C0"/>
        <w:sz w:val="20"/>
        <w:szCs w:val="10"/>
        <w:lang w:val="en-US"/>
      </w:rPr>
    </w:pPr>
    <w:hyperlink r:id="rId1" w:history="1">
      <w:proofErr w:type="spellStart"/>
      <w:r w:rsidR="00D72131">
        <w:rPr>
          <w:rStyle w:val="Hyperlink"/>
          <w:rFonts w:asciiTheme="minorHAnsi" w:hAnsiTheme="minorHAnsi" w:cstheme="minorHAnsi"/>
          <w:b/>
          <w:color w:val="0070C0"/>
          <w:sz w:val="20"/>
          <w:szCs w:val="10"/>
          <w:u w:val="none"/>
        </w:rPr>
        <w:t>Zhongg</w:t>
      </w:r>
      <w:r w:rsidR="00866C1C" w:rsidRPr="00316F0C">
        <w:rPr>
          <w:rStyle w:val="Hyperlink"/>
          <w:rFonts w:asciiTheme="minorHAnsi" w:hAnsiTheme="minorHAnsi" w:cstheme="minorHAnsi"/>
          <w:b/>
          <w:color w:val="0070C0"/>
          <w:sz w:val="20"/>
          <w:szCs w:val="10"/>
          <w:u w:val="none"/>
        </w:rPr>
        <w:t>u</w:t>
      </w:r>
      <w:r w:rsidR="00D72131">
        <w:rPr>
          <w:rStyle w:val="Hyperlink"/>
          <w:rFonts w:asciiTheme="minorHAnsi" w:hAnsiTheme="minorHAnsi" w:cstheme="minorHAnsi"/>
          <w:b/>
          <w:color w:val="0070C0"/>
          <w:sz w:val="20"/>
          <w:szCs w:val="10"/>
          <w:u w:val="none"/>
        </w:rPr>
        <w:t>o</w:t>
      </w:r>
      <w:proofErr w:type="spellEnd"/>
      <w:r w:rsidR="00866C1C" w:rsidRPr="00316F0C">
        <w:rPr>
          <w:rStyle w:val="Hyperlink"/>
          <w:rFonts w:asciiTheme="minorHAnsi" w:hAnsiTheme="minorHAnsi" w:cstheme="minorHAnsi"/>
          <w:b/>
          <w:color w:val="0070C0"/>
          <w:sz w:val="20"/>
          <w:szCs w:val="10"/>
          <w:u w:val="none"/>
        </w:rPr>
        <w:t xml:space="preserve"> </w:t>
      </w:r>
      <w:proofErr w:type="spellStart"/>
      <w:r w:rsidR="00866C1C" w:rsidRPr="00316F0C">
        <w:rPr>
          <w:rStyle w:val="Hyperlink"/>
          <w:rFonts w:asciiTheme="minorHAnsi" w:hAnsiTheme="minorHAnsi" w:cstheme="minorHAnsi"/>
          <w:b/>
          <w:color w:val="0070C0"/>
          <w:sz w:val="20"/>
          <w:szCs w:val="10"/>
          <w:u w:val="none"/>
        </w:rPr>
        <w:t>Kuangye</w:t>
      </w:r>
      <w:proofErr w:type="spellEnd"/>
      <w:r w:rsidR="00866C1C" w:rsidRPr="00316F0C">
        <w:rPr>
          <w:rStyle w:val="Hyperlink"/>
          <w:rFonts w:asciiTheme="minorHAnsi" w:hAnsiTheme="minorHAnsi" w:cstheme="minorHAnsi"/>
          <w:b/>
          <w:color w:val="0070C0"/>
          <w:sz w:val="20"/>
          <w:szCs w:val="10"/>
          <w:u w:val="none"/>
        </w:rPr>
        <w:t xml:space="preserve"> </w:t>
      </w:r>
      <w:proofErr w:type="spellStart"/>
      <w:r w:rsidR="00866C1C" w:rsidRPr="00316F0C">
        <w:rPr>
          <w:rStyle w:val="Hyperlink"/>
          <w:rFonts w:asciiTheme="minorHAnsi" w:hAnsiTheme="minorHAnsi" w:cstheme="minorHAnsi"/>
          <w:b/>
          <w:color w:val="0070C0"/>
          <w:sz w:val="20"/>
          <w:szCs w:val="10"/>
          <w:u w:val="none"/>
        </w:rPr>
        <w:t>Daxue</w:t>
      </w:r>
      <w:proofErr w:type="spellEnd"/>
      <w:r w:rsidR="00866C1C" w:rsidRPr="00316F0C">
        <w:rPr>
          <w:rStyle w:val="Hyperlink"/>
          <w:rFonts w:asciiTheme="minorHAnsi" w:hAnsiTheme="minorHAnsi" w:cstheme="minorHAnsi"/>
          <w:b/>
          <w:color w:val="0070C0"/>
          <w:sz w:val="20"/>
          <w:szCs w:val="10"/>
          <w:u w:val="none"/>
        </w:rPr>
        <w:t xml:space="preserve"> </w:t>
      </w:r>
      <w:proofErr w:type="spellStart"/>
      <w:r w:rsidR="00866C1C" w:rsidRPr="00316F0C">
        <w:rPr>
          <w:rStyle w:val="Hyperlink"/>
          <w:rFonts w:asciiTheme="minorHAnsi" w:hAnsiTheme="minorHAnsi" w:cstheme="minorHAnsi"/>
          <w:b/>
          <w:color w:val="0070C0"/>
          <w:sz w:val="20"/>
          <w:szCs w:val="10"/>
          <w:u w:val="none"/>
        </w:rPr>
        <w:t>Xuebao</w:t>
      </w:r>
      <w:proofErr w:type="spellEnd"/>
    </w:hyperlink>
    <w:r>
      <w:rPr>
        <w:rFonts w:asciiTheme="minorHAnsi" w:hAnsiTheme="minorHAnsi" w:cstheme="minorHAnsi"/>
        <w:color w:val="0070C0"/>
        <w:sz w:val="20"/>
        <w:szCs w:val="1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472281" o:spid="_x0000_s2060" type="#_x0000_t75" style="position:absolute;left:0;text-align:left;margin-left:0;margin-top:0;width:208.55pt;height:192.7pt;z-index:-251649024;mso-position-horizontal:center;mso-position-horizontal-relative:margin;mso-position-vertical:center;mso-position-vertical-relative:margin" o:allowincell="f">
          <v:imagedata r:id="rId2" o:title="ZKDX Logo FHD"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1A6" w:rsidRDefault="000527E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472279" o:spid="_x0000_s2058" type="#_x0000_t75" style="position:absolute;left:0;text-align:left;margin-left:0;margin-top:0;width:208.55pt;height:192.7pt;z-index:-251651072;mso-position-horizontal:center;mso-position-horizontal-relative:margin;mso-position-vertical:center;mso-position-vertical-relative:margin" o:allowincell="f">
          <v:imagedata r:id="rId1" o:title="ZKDX Logo FH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511"/>
    <w:multiLevelType w:val="multilevel"/>
    <w:tmpl w:val="B0E6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E0BC4"/>
    <w:multiLevelType w:val="multilevel"/>
    <w:tmpl w:val="21F4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32BFA"/>
    <w:multiLevelType w:val="hybridMultilevel"/>
    <w:tmpl w:val="E66A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03E00"/>
    <w:multiLevelType w:val="multilevel"/>
    <w:tmpl w:val="E60AABE2"/>
    <w:styleLink w:val="Springer"/>
    <w:lvl w:ilvl="0">
      <w:start w:val="1"/>
      <w:numFmt w:val="none"/>
      <w:lvlText w:val="1"/>
      <w:lvlJc w:val="left"/>
      <w:pPr>
        <w:ind w:left="360" w:hanging="360"/>
      </w:pPr>
      <w:rPr>
        <w:rFonts w:ascii="Times New Roman" w:hAnsi="Times New Roman" w:cs="Times New Roman" w:hint="default"/>
        <w:b/>
        <w:color w:val="000000" w:themeColor="text1"/>
        <w:sz w:val="40"/>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D9967D3"/>
    <w:multiLevelType w:val="multilevel"/>
    <w:tmpl w:val="B8006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FF4389"/>
    <w:multiLevelType w:val="hybridMultilevel"/>
    <w:tmpl w:val="589E0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110EC"/>
    <w:multiLevelType w:val="hybridMultilevel"/>
    <w:tmpl w:val="D5B2B06A"/>
    <w:lvl w:ilvl="0" w:tplc="1180CE5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96B53E7"/>
    <w:multiLevelType w:val="multilevel"/>
    <w:tmpl w:val="3A02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2F1E03"/>
    <w:multiLevelType w:val="multilevel"/>
    <w:tmpl w:val="423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D7DB5"/>
    <w:multiLevelType w:val="multilevel"/>
    <w:tmpl w:val="9404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6925A4"/>
    <w:multiLevelType w:val="multilevel"/>
    <w:tmpl w:val="95AE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C50B65"/>
    <w:multiLevelType w:val="hybridMultilevel"/>
    <w:tmpl w:val="DE26E112"/>
    <w:lvl w:ilvl="0" w:tplc="C68806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501A7A"/>
    <w:multiLevelType w:val="hybridMultilevel"/>
    <w:tmpl w:val="22243D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4714BE"/>
    <w:multiLevelType w:val="multilevel"/>
    <w:tmpl w:val="DD8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5A06AC"/>
    <w:multiLevelType w:val="hybridMultilevel"/>
    <w:tmpl w:val="46F8F346"/>
    <w:lvl w:ilvl="0" w:tplc="2232244E">
      <w:start w:val="9"/>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F8334F"/>
    <w:multiLevelType w:val="hybridMultilevel"/>
    <w:tmpl w:val="355ED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876C1"/>
    <w:multiLevelType w:val="multilevel"/>
    <w:tmpl w:val="5ACE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D57C74"/>
    <w:multiLevelType w:val="hybridMultilevel"/>
    <w:tmpl w:val="44889E86"/>
    <w:lvl w:ilvl="0" w:tplc="B69C29B0">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5B91D0C"/>
    <w:multiLevelType w:val="multilevel"/>
    <w:tmpl w:val="26D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6E6205"/>
    <w:multiLevelType w:val="multilevel"/>
    <w:tmpl w:val="3DDA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2224EC"/>
    <w:multiLevelType w:val="multilevel"/>
    <w:tmpl w:val="6C12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6C2E36"/>
    <w:multiLevelType w:val="hybridMultilevel"/>
    <w:tmpl w:val="39166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5B15BE"/>
    <w:multiLevelType w:val="hybridMultilevel"/>
    <w:tmpl w:val="2F0435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971414"/>
    <w:multiLevelType w:val="multilevel"/>
    <w:tmpl w:val="03B0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09082D"/>
    <w:multiLevelType w:val="multilevel"/>
    <w:tmpl w:val="C190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9038EC"/>
    <w:multiLevelType w:val="multilevel"/>
    <w:tmpl w:val="EA9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D7449F"/>
    <w:multiLevelType w:val="hybridMultilevel"/>
    <w:tmpl w:val="9B1C0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0F0876"/>
    <w:multiLevelType w:val="multilevel"/>
    <w:tmpl w:val="915A96D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6811F82"/>
    <w:multiLevelType w:val="hybridMultilevel"/>
    <w:tmpl w:val="E66A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A3633D"/>
    <w:multiLevelType w:val="hybridMultilevel"/>
    <w:tmpl w:val="0E205C56"/>
    <w:lvl w:ilvl="0" w:tplc="0409000F">
      <w:start w:val="1"/>
      <w:numFmt w:val="decimal"/>
      <w:lvlText w:val="%1."/>
      <w:lvlJc w:val="left"/>
      <w:pPr>
        <w:ind w:left="720" w:hanging="360"/>
      </w:pPr>
    </w:lvl>
    <w:lvl w:ilvl="1" w:tplc="BAECA98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EC50D3"/>
    <w:multiLevelType w:val="hybridMultilevel"/>
    <w:tmpl w:val="E6224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845349"/>
    <w:multiLevelType w:val="hybridMultilevel"/>
    <w:tmpl w:val="A122FF9A"/>
    <w:lvl w:ilvl="0" w:tplc="360CE56C">
      <w:start w:val="1"/>
      <w:numFmt w:val="decimal"/>
      <w:lvlText w:val="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C2A19BC"/>
    <w:multiLevelType w:val="hybridMultilevel"/>
    <w:tmpl w:val="E66A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1D13A3"/>
    <w:multiLevelType w:val="multilevel"/>
    <w:tmpl w:val="F8E8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17"/>
  </w:num>
  <w:num w:numId="4">
    <w:abstractNumId w:val="3"/>
  </w:num>
  <w:num w:numId="5">
    <w:abstractNumId w:val="3"/>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6">
    <w:abstractNumId w:val="31"/>
  </w:num>
  <w:num w:numId="7">
    <w:abstractNumId w:val="3"/>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8">
    <w:abstractNumId w:val="3"/>
    <w:lvlOverride w:ilvl="1">
      <w:lvl w:ilvl="1">
        <w:start w:val="1"/>
        <w:numFmt w:val="none"/>
        <w:lvlText w:val="1.1"/>
        <w:lvlJc w:val="left"/>
        <w:pPr>
          <w:ind w:left="72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none"/>
        <w:lvlText w:val="1.1.1"/>
        <w:lvlJc w:val="left"/>
        <w:pPr>
          <w:ind w:left="1080" w:hanging="360"/>
        </w:pPr>
        <w:rPr>
          <w:rFonts w:hint="default"/>
        </w:rPr>
      </w:lvl>
    </w:lvlOverride>
  </w:num>
  <w:num w:numId="9">
    <w:abstractNumId w:val="25"/>
  </w:num>
  <w:num w:numId="10">
    <w:abstractNumId w:val="24"/>
  </w:num>
  <w:num w:numId="11">
    <w:abstractNumId w:val="8"/>
  </w:num>
  <w:num w:numId="12">
    <w:abstractNumId w:val="0"/>
  </w:num>
  <w:num w:numId="13">
    <w:abstractNumId w:val="20"/>
  </w:num>
  <w:num w:numId="14">
    <w:abstractNumId w:val="4"/>
  </w:num>
  <w:num w:numId="15">
    <w:abstractNumId w:val="10"/>
  </w:num>
  <w:num w:numId="16">
    <w:abstractNumId w:val="7"/>
  </w:num>
  <w:num w:numId="17">
    <w:abstractNumId w:val="23"/>
  </w:num>
  <w:num w:numId="18">
    <w:abstractNumId w:val="18"/>
  </w:num>
  <w:num w:numId="19">
    <w:abstractNumId w:val="13"/>
  </w:num>
  <w:num w:numId="20">
    <w:abstractNumId w:val="16"/>
  </w:num>
  <w:num w:numId="21">
    <w:abstractNumId w:val="33"/>
  </w:num>
  <w:num w:numId="22">
    <w:abstractNumId w:val="1"/>
  </w:num>
  <w:num w:numId="23">
    <w:abstractNumId w:val="19"/>
  </w:num>
  <w:num w:numId="24">
    <w:abstractNumId w:val="9"/>
  </w:num>
  <w:num w:numId="25">
    <w:abstractNumId w:val="30"/>
  </w:num>
  <w:num w:numId="26">
    <w:abstractNumId w:val="22"/>
  </w:num>
  <w:num w:numId="27">
    <w:abstractNumId w:val="21"/>
  </w:num>
  <w:num w:numId="28">
    <w:abstractNumId w:val="12"/>
  </w:num>
  <w:num w:numId="29">
    <w:abstractNumId w:val="28"/>
  </w:num>
  <w:num w:numId="30">
    <w:abstractNumId w:val="32"/>
  </w:num>
  <w:num w:numId="31">
    <w:abstractNumId w:val="2"/>
  </w:num>
  <w:num w:numId="32">
    <w:abstractNumId w:val="29"/>
  </w:num>
  <w:num w:numId="33">
    <w:abstractNumId w:val="14"/>
  </w:num>
  <w:num w:numId="34">
    <w:abstractNumId w:val="11"/>
  </w:num>
  <w:num w:numId="35">
    <w:abstractNumId w:val="5"/>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CF"/>
    <w:rsid w:val="0000150A"/>
    <w:rsid w:val="000105D8"/>
    <w:rsid w:val="00012727"/>
    <w:rsid w:val="000527EC"/>
    <w:rsid w:val="000658A9"/>
    <w:rsid w:val="000804BD"/>
    <w:rsid w:val="000937AC"/>
    <w:rsid w:val="00096CAF"/>
    <w:rsid w:val="000A2265"/>
    <w:rsid w:val="000C237D"/>
    <w:rsid w:val="000D35FE"/>
    <w:rsid w:val="000F2ACC"/>
    <w:rsid w:val="000F5042"/>
    <w:rsid w:val="00112645"/>
    <w:rsid w:val="001127DA"/>
    <w:rsid w:val="00116E81"/>
    <w:rsid w:val="00131738"/>
    <w:rsid w:val="00137D52"/>
    <w:rsid w:val="001468E6"/>
    <w:rsid w:val="00151A4E"/>
    <w:rsid w:val="00151BC1"/>
    <w:rsid w:val="001A1F52"/>
    <w:rsid w:val="001A6ACF"/>
    <w:rsid w:val="001C039B"/>
    <w:rsid w:val="001E434D"/>
    <w:rsid w:val="00212B4A"/>
    <w:rsid w:val="002158F4"/>
    <w:rsid w:val="00240691"/>
    <w:rsid w:val="00253B52"/>
    <w:rsid w:val="00260E59"/>
    <w:rsid w:val="00264543"/>
    <w:rsid w:val="00265CF6"/>
    <w:rsid w:val="00276195"/>
    <w:rsid w:val="00287BEA"/>
    <w:rsid w:val="002A378D"/>
    <w:rsid w:val="002A59CF"/>
    <w:rsid w:val="002A6E21"/>
    <w:rsid w:val="002B6723"/>
    <w:rsid w:val="002C74F5"/>
    <w:rsid w:val="002D1048"/>
    <w:rsid w:val="002D3E46"/>
    <w:rsid w:val="002E3E43"/>
    <w:rsid w:val="002E4B7F"/>
    <w:rsid w:val="00316F0C"/>
    <w:rsid w:val="00333B82"/>
    <w:rsid w:val="00335246"/>
    <w:rsid w:val="00335967"/>
    <w:rsid w:val="00335F0D"/>
    <w:rsid w:val="003508AA"/>
    <w:rsid w:val="00357C53"/>
    <w:rsid w:val="00367779"/>
    <w:rsid w:val="00371952"/>
    <w:rsid w:val="003753ED"/>
    <w:rsid w:val="003841FA"/>
    <w:rsid w:val="00391AC6"/>
    <w:rsid w:val="003957FB"/>
    <w:rsid w:val="003961FE"/>
    <w:rsid w:val="003A1F78"/>
    <w:rsid w:val="003B65C0"/>
    <w:rsid w:val="003C54F8"/>
    <w:rsid w:val="003D2D33"/>
    <w:rsid w:val="003F26E8"/>
    <w:rsid w:val="003F72AE"/>
    <w:rsid w:val="00410AE7"/>
    <w:rsid w:val="00415E4B"/>
    <w:rsid w:val="00463005"/>
    <w:rsid w:val="00473494"/>
    <w:rsid w:val="0047541A"/>
    <w:rsid w:val="004A1254"/>
    <w:rsid w:val="004B53F8"/>
    <w:rsid w:val="004C078D"/>
    <w:rsid w:val="004D7198"/>
    <w:rsid w:val="004E2BEB"/>
    <w:rsid w:val="00512056"/>
    <w:rsid w:val="00513CA2"/>
    <w:rsid w:val="00520FE9"/>
    <w:rsid w:val="00532EC9"/>
    <w:rsid w:val="005356ED"/>
    <w:rsid w:val="00536673"/>
    <w:rsid w:val="00540EAC"/>
    <w:rsid w:val="00543969"/>
    <w:rsid w:val="00562966"/>
    <w:rsid w:val="005658E5"/>
    <w:rsid w:val="00565D8B"/>
    <w:rsid w:val="00566EC4"/>
    <w:rsid w:val="005C01A0"/>
    <w:rsid w:val="005C1B7F"/>
    <w:rsid w:val="005E7A84"/>
    <w:rsid w:val="0061084F"/>
    <w:rsid w:val="00611690"/>
    <w:rsid w:val="00612614"/>
    <w:rsid w:val="00647982"/>
    <w:rsid w:val="00652306"/>
    <w:rsid w:val="006607A8"/>
    <w:rsid w:val="00674500"/>
    <w:rsid w:val="00683C2F"/>
    <w:rsid w:val="00683DF7"/>
    <w:rsid w:val="006A51A6"/>
    <w:rsid w:val="006A7450"/>
    <w:rsid w:val="006C79D0"/>
    <w:rsid w:val="006F704C"/>
    <w:rsid w:val="006F773D"/>
    <w:rsid w:val="00704D96"/>
    <w:rsid w:val="00740E68"/>
    <w:rsid w:val="0074378E"/>
    <w:rsid w:val="00767D63"/>
    <w:rsid w:val="00773E72"/>
    <w:rsid w:val="0079695B"/>
    <w:rsid w:val="007A0D72"/>
    <w:rsid w:val="007A4562"/>
    <w:rsid w:val="007B3867"/>
    <w:rsid w:val="007C49CD"/>
    <w:rsid w:val="007C6D71"/>
    <w:rsid w:val="007F382D"/>
    <w:rsid w:val="007F52DE"/>
    <w:rsid w:val="00842B42"/>
    <w:rsid w:val="008430AB"/>
    <w:rsid w:val="008437A9"/>
    <w:rsid w:val="00863818"/>
    <w:rsid w:val="00866C1C"/>
    <w:rsid w:val="00871A30"/>
    <w:rsid w:val="008B6D29"/>
    <w:rsid w:val="008D2BAF"/>
    <w:rsid w:val="008D58FD"/>
    <w:rsid w:val="008D6583"/>
    <w:rsid w:val="0090290E"/>
    <w:rsid w:val="009063A0"/>
    <w:rsid w:val="00907D49"/>
    <w:rsid w:val="0091132C"/>
    <w:rsid w:val="00915D83"/>
    <w:rsid w:val="00922EA9"/>
    <w:rsid w:val="00930FF4"/>
    <w:rsid w:val="0093591E"/>
    <w:rsid w:val="00940873"/>
    <w:rsid w:val="00950DA6"/>
    <w:rsid w:val="00995F63"/>
    <w:rsid w:val="009B15A7"/>
    <w:rsid w:val="009B2821"/>
    <w:rsid w:val="009C1E52"/>
    <w:rsid w:val="009D7B4B"/>
    <w:rsid w:val="009E740F"/>
    <w:rsid w:val="009F7F58"/>
    <w:rsid w:val="00A01A53"/>
    <w:rsid w:val="00A03FA0"/>
    <w:rsid w:val="00A209A7"/>
    <w:rsid w:val="00A23059"/>
    <w:rsid w:val="00A35FD5"/>
    <w:rsid w:val="00A64ED6"/>
    <w:rsid w:val="00AA538C"/>
    <w:rsid w:val="00AC1547"/>
    <w:rsid w:val="00AD036D"/>
    <w:rsid w:val="00AF0CED"/>
    <w:rsid w:val="00AF61E7"/>
    <w:rsid w:val="00B010E3"/>
    <w:rsid w:val="00B170B6"/>
    <w:rsid w:val="00B34CCB"/>
    <w:rsid w:val="00B35E51"/>
    <w:rsid w:val="00B60D3E"/>
    <w:rsid w:val="00B70B58"/>
    <w:rsid w:val="00B86E3C"/>
    <w:rsid w:val="00BB0553"/>
    <w:rsid w:val="00BB0CD8"/>
    <w:rsid w:val="00BB7A91"/>
    <w:rsid w:val="00BD256F"/>
    <w:rsid w:val="00C01937"/>
    <w:rsid w:val="00C0645F"/>
    <w:rsid w:val="00C0722D"/>
    <w:rsid w:val="00C224D3"/>
    <w:rsid w:val="00C34255"/>
    <w:rsid w:val="00C34332"/>
    <w:rsid w:val="00C36B7F"/>
    <w:rsid w:val="00C45A99"/>
    <w:rsid w:val="00C477CA"/>
    <w:rsid w:val="00C47E6A"/>
    <w:rsid w:val="00C63C91"/>
    <w:rsid w:val="00C76CDD"/>
    <w:rsid w:val="00C8105E"/>
    <w:rsid w:val="00CA66D7"/>
    <w:rsid w:val="00CB5F4D"/>
    <w:rsid w:val="00CB726A"/>
    <w:rsid w:val="00CC55E6"/>
    <w:rsid w:val="00CC5FEE"/>
    <w:rsid w:val="00CD64B7"/>
    <w:rsid w:val="00CF412C"/>
    <w:rsid w:val="00CF52EF"/>
    <w:rsid w:val="00D12AEF"/>
    <w:rsid w:val="00D148C3"/>
    <w:rsid w:val="00D361A2"/>
    <w:rsid w:val="00D63370"/>
    <w:rsid w:val="00D7024C"/>
    <w:rsid w:val="00D72131"/>
    <w:rsid w:val="00D95C5B"/>
    <w:rsid w:val="00DA4F51"/>
    <w:rsid w:val="00DA52BF"/>
    <w:rsid w:val="00DB2693"/>
    <w:rsid w:val="00DC0E51"/>
    <w:rsid w:val="00DE6AEA"/>
    <w:rsid w:val="00DF031F"/>
    <w:rsid w:val="00EA4D52"/>
    <w:rsid w:val="00EA7721"/>
    <w:rsid w:val="00EB5BD8"/>
    <w:rsid w:val="00EC3D63"/>
    <w:rsid w:val="00EC7A90"/>
    <w:rsid w:val="00EE378F"/>
    <w:rsid w:val="00EF4D45"/>
    <w:rsid w:val="00F04EEE"/>
    <w:rsid w:val="00F301F6"/>
    <w:rsid w:val="00F40A4D"/>
    <w:rsid w:val="00F444B3"/>
    <w:rsid w:val="00F447F9"/>
    <w:rsid w:val="00F47146"/>
    <w:rsid w:val="00F50493"/>
    <w:rsid w:val="00F615E1"/>
    <w:rsid w:val="00F64484"/>
    <w:rsid w:val="00F67266"/>
    <w:rsid w:val="00F81E0C"/>
    <w:rsid w:val="00F82919"/>
    <w:rsid w:val="00FA5FB3"/>
    <w:rsid w:val="00FB19D7"/>
    <w:rsid w:val="00FC0A9A"/>
    <w:rsid w:val="00FC3C05"/>
    <w:rsid w:val="00FF1B39"/>
    <w:rsid w:val="00FF496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paragraph" w:styleId="Header">
    <w:name w:val="header"/>
    <w:basedOn w:val="Normal"/>
    <w:link w:val="HeaderChar"/>
    <w:uiPriority w:val="99"/>
    <w:unhideWhenUsed/>
    <w:rsid w:val="005C01A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C01A0"/>
    <w:rPr>
      <w:lang w:val="en-GB"/>
    </w:rPr>
  </w:style>
  <w:style w:type="paragraph" w:styleId="Footer">
    <w:name w:val="footer"/>
    <w:basedOn w:val="Normal"/>
    <w:link w:val="FooterChar"/>
    <w:uiPriority w:val="99"/>
    <w:unhideWhenUsed/>
    <w:rsid w:val="005C01A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C01A0"/>
    <w:rPr>
      <w:lang w:val="en-GB"/>
    </w:rPr>
  </w:style>
  <w:style w:type="character" w:styleId="Hyperlink">
    <w:name w:val="Hyperlink"/>
    <w:basedOn w:val="DefaultParagraphFont"/>
    <w:uiPriority w:val="99"/>
    <w:unhideWhenUsed/>
    <w:rsid w:val="007F52DE"/>
    <w:rPr>
      <w:color w:val="0000FF" w:themeColor="hyperlink"/>
      <w:u w:val="single"/>
    </w:rPr>
  </w:style>
  <w:style w:type="paragraph" w:styleId="BalloonText">
    <w:name w:val="Balloon Text"/>
    <w:basedOn w:val="Normal"/>
    <w:link w:val="BalloonTextChar"/>
    <w:uiPriority w:val="99"/>
    <w:semiHidden/>
    <w:unhideWhenUsed/>
    <w:rsid w:val="00151A4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A4E"/>
    <w:rPr>
      <w:rFonts w:ascii="Tahoma" w:hAnsi="Tahoma" w:cs="Tahoma"/>
      <w:sz w:val="16"/>
      <w:szCs w:val="16"/>
      <w:lang w:val="en-GB"/>
    </w:rPr>
  </w:style>
  <w:style w:type="table" w:styleId="TableGrid">
    <w:name w:val="Table Grid"/>
    <w:basedOn w:val="TableNormal"/>
    <w:uiPriority w:val="59"/>
    <w:rsid w:val="00DB26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6A51A6"/>
    <w:pPr>
      <w:spacing w:line="240" w:lineRule="auto"/>
      <w:ind w:left="0" w:firstLine="0"/>
    </w:pPr>
    <w:rPr>
      <w:rFonts w:eastAsia="Times New Roman"/>
      <w:lang w:val="en-US"/>
    </w:rPr>
  </w:style>
  <w:style w:type="character" w:styleId="FollowedHyperlink">
    <w:name w:val="FollowedHyperlink"/>
    <w:basedOn w:val="DefaultParagraphFont"/>
    <w:uiPriority w:val="99"/>
    <w:semiHidden/>
    <w:unhideWhenUsed/>
    <w:rsid w:val="006A51A6"/>
    <w:rPr>
      <w:color w:val="800080"/>
      <w:u w:val="single"/>
    </w:rPr>
  </w:style>
  <w:style w:type="character" w:customStyle="1" w:styleId="mw-headline">
    <w:name w:val="mw-headline"/>
    <w:basedOn w:val="DefaultParagraphFont"/>
    <w:rsid w:val="006A51A6"/>
  </w:style>
  <w:style w:type="character" w:customStyle="1" w:styleId="mw-editsection">
    <w:name w:val="mw-editsection"/>
    <w:basedOn w:val="DefaultParagraphFont"/>
    <w:rsid w:val="006A51A6"/>
  </w:style>
  <w:style w:type="character" w:customStyle="1" w:styleId="mw-editsection-bracket">
    <w:name w:val="mw-editsection-bracket"/>
    <w:basedOn w:val="DefaultParagraphFont"/>
    <w:rsid w:val="006A51A6"/>
  </w:style>
  <w:style w:type="character" w:styleId="HTMLCite">
    <w:name w:val="HTML Cite"/>
    <w:basedOn w:val="DefaultParagraphFont"/>
    <w:uiPriority w:val="99"/>
    <w:semiHidden/>
    <w:unhideWhenUsed/>
    <w:rsid w:val="006A51A6"/>
    <w:rPr>
      <w:i/>
      <w:iCs/>
    </w:rPr>
  </w:style>
  <w:style w:type="character" w:customStyle="1" w:styleId="metadata">
    <w:name w:val="metadata"/>
    <w:basedOn w:val="DefaultParagraphFont"/>
    <w:rsid w:val="006A51A6"/>
  </w:style>
  <w:style w:type="character" w:customStyle="1" w:styleId="date-container">
    <w:name w:val="date-container"/>
    <w:basedOn w:val="DefaultParagraphFont"/>
    <w:rsid w:val="006A51A6"/>
  </w:style>
  <w:style w:type="character" w:customStyle="1" w:styleId="Date1">
    <w:name w:val="Date1"/>
    <w:basedOn w:val="DefaultParagraphFont"/>
    <w:rsid w:val="006A51A6"/>
  </w:style>
  <w:style w:type="character" w:customStyle="1" w:styleId="vanchor">
    <w:name w:val="vanchor"/>
    <w:basedOn w:val="DefaultParagraphFont"/>
    <w:rsid w:val="006A51A6"/>
  </w:style>
  <w:style w:type="character" w:customStyle="1" w:styleId="vanchor-text">
    <w:name w:val="vanchor-text"/>
    <w:basedOn w:val="DefaultParagraphFont"/>
    <w:rsid w:val="006A51A6"/>
  </w:style>
  <w:style w:type="character" w:customStyle="1" w:styleId="mw-cite-backlink">
    <w:name w:val="mw-cite-backlink"/>
    <w:basedOn w:val="DefaultParagraphFont"/>
    <w:rsid w:val="006A51A6"/>
  </w:style>
  <w:style w:type="character" w:customStyle="1" w:styleId="cite-accessibility-label">
    <w:name w:val="cite-accessibility-label"/>
    <w:basedOn w:val="DefaultParagraphFont"/>
    <w:rsid w:val="006A51A6"/>
  </w:style>
  <w:style w:type="character" w:customStyle="1" w:styleId="reference-text">
    <w:name w:val="reference-text"/>
    <w:basedOn w:val="DefaultParagraphFont"/>
    <w:rsid w:val="006A51A6"/>
  </w:style>
  <w:style w:type="character" w:customStyle="1" w:styleId="reference-accessdate">
    <w:name w:val="reference-accessdate"/>
    <w:basedOn w:val="DefaultParagraphFont"/>
    <w:rsid w:val="006A51A6"/>
  </w:style>
  <w:style w:type="character" w:customStyle="1" w:styleId="nowrap">
    <w:name w:val="nowrap"/>
    <w:basedOn w:val="DefaultParagraphFont"/>
    <w:rsid w:val="006A51A6"/>
  </w:style>
  <w:style w:type="character" w:customStyle="1" w:styleId="z3988">
    <w:name w:val="z3988"/>
    <w:basedOn w:val="DefaultParagraphFont"/>
    <w:rsid w:val="006A51A6"/>
  </w:style>
  <w:style w:type="character" w:customStyle="1" w:styleId="cs1-format">
    <w:name w:val="cs1-format"/>
    <w:basedOn w:val="DefaultParagraphFont"/>
    <w:rsid w:val="006A51A6"/>
  </w:style>
  <w:style w:type="character" w:customStyle="1" w:styleId="cs1-lock-registration">
    <w:name w:val="cs1-lock-registration"/>
    <w:basedOn w:val="DefaultParagraphFont"/>
    <w:rsid w:val="006A51A6"/>
  </w:style>
  <w:style w:type="paragraph" w:styleId="ListParagraph">
    <w:name w:val="List Paragraph"/>
    <w:basedOn w:val="Normal"/>
    <w:uiPriority w:val="34"/>
    <w:qFormat/>
    <w:rsid w:val="00D12AEF"/>
    <w:pPr>
      <w:ind w:left="720"/>
      <w:contextualSpacing/>
    </w:pPr>
  </w:style>
  <w:style w:type="character" w:styleId="Emphasis">
    <w:name w:val="Emphasis"/>
    <w:basedOn w:val="DefaultParagraphFont"/>
    <w:uiPriority w:val="20"/>
    <w:qFormat/>
    <w:rsid w:val="00212B4A"/>
    <w:rPr>
      <w:i/>
      <w:iCs/>
    </w:rPr>
  </w:style>
  <w:style w:type="character" w:styleId="Strong">
    <w:name w:val="Strong"/>
    <w:basedOn w:val="DefaultParagraphFont"/>
    <w:uiPriority w:val="22"/>
    <w:qFormat/>
    <w:rsid w:val="00212B4A"/>
    <w:rPr>
      <w:b/>
      <w:bCs/>
    </w:rPr>
  </w:style>
  <w:style w:type="paragraph" w:styleId="NoSpacing">
    <w:name w:val="No Spacing"/>
    <w:uiPriority w:val="1"/>
    <w:qFormat/>
    <w:rsid w:val="00212B4A"/>
    <w:pPr>
      <w:spacing w:before="0" w:after="0" w:line="240" w:lineRule="auto"/>
      <w:ind w:left="0" w:firstLine="0"/>
    </w:pPr>
    <w:rPr>
      <w:rFonts w:ascii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IN" w:eastAsia="en-US" w:bidi="ar-SA"/>
      </w:rPr>
    </w:rPrDefault>
    <w:pPrDefault>
      <w:pPr>
        <w:spacing w:before="600" w:after="32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0B6"/>
    <w:pPr>
      <w:spacing w:before="100" w:beforeAutospacing="1" w:after="100" w:afterAutospacing="1"/>
    </w:pPr>
    <w:rPr>
      <w:lang w:val="en-GB"/>
    </w:rPr>
  </w:style>
  <w:style w:type="paragraph" w:styleId="Heading1">
    <w:name w:val="heading 1"/>
    <w:basedOn w:val="Normal"/>
    <w:link w:val="Heading1Char"/>
    <w:uiPriority w:val="9"/>
    <w:qFormat/>
    <w:rsid w:val="00F67266"/>
    <w:pPr>
      <w:keepNext/>
      <w:keepLines/>
      <w:spacing w:before="600" w:beforeAutospacing="0" w:after="320" w:afterAutospacing="0"/>
      <w:outlineLvl w:val="0"/>
    </w:pPr>
    <w:rPr>
      <w:rFonts w:eastAsiaTheme="majorEastAsia" w:cstheme="majorBidi"/>
      <w:b/>
      <w:bCs/>
      <w:color w:val="000000" w:themeColor="text1"/>
      <w:sz w:val="28"/>
      <w:szCs w:val="28"/>
    </w:rPr>
  </w:style>
  <w:style w:type="paragraph" w:styleId="Heading2">
    <w:name w:val="heading 2"/>
    <w:basedOn w:val="Normal"/>
    <w:link w:val="Heading2Char"/>
    <w:uiPriority w:val="9"/>
    <w:unhideWhenUsed/>
    <w:qFormat/>
    <w:rsid w:val="00F67266"/>
    <w:pPr>
      <w:keepNext/>
      <w:keepLines/>
      <w:spacing w:before="600" w:beforeAutospacing="0" w:after="320" w:afterAutospacing="0"/>
      <w:ind w:left="0" w:firstLine="0"/>
      <w:outlineLvl w:val="1"/>
    </w:pPr>
    <w:rPr>
      <w:rFonts w:eastAsiaTheme="majorEastAsia" w:cstheme="majorBidi"/>
      <w:b/>
      <w:bCs/>
      <w:i/>
      <w:color w:val="000000" w:themeColor="text1"/>
      <w:sz w:val="28"/>
      <w:szCs w:val="26"/>
    </w:rPr>
  </w:style>
  <w:style w:type="paragraph" w:styleId="Heading3">
    <w:name w:val="heading 3"/>
    <w:basedOn w:val="Normal"/>
    <w:link w:val="Heading3Char"/>
    <w:uiPriority w:val="9"/>
    <w:unhideWhenUsed/>
    <w:qFormat/>
    <w:rsid w:val="00CB5F4D"/>
    <w:pPr>
      <w:keepNext/>
      <w:keepLines/>
      <w:spacing w:before="480" w:beforeAutospacing="0" w:after="240" w:afterAutospacing="0"/>
      <w:outlineLvl w:val="2"/>
    </w:pPr>
    <w:rPr>
      <w:rFonts w:eastAsiaTheme="majorEastAsia" w:cstheme="majorBidi"/>
      <w:b/>
      <w:bCs/>
      <w:color w:val="000000" w:themeColor="text1"/>
    </w:rPr>
  </w:style>
  <w:style w:type="paragraph" w:styleId="Heading4">
    <w:name w:val="heading 4"/>
    <w:basedOn w:val="Normal"/>
    <w:link w:val="Heading4Char"/>
    <w:uiPriority w:val="9"/>
    <w:unhideWhenUsed/>
    <w:qFormat/>
    <w:rsid w:val="006C79D0"/>
    <w:pPr>
      <w:keepNext/>
      <w:keepLines/>
      <w:spacing w:before="480" w:after="240"/>
      <w:ind w:left="0" w:firstLine="0"/>
      <w:outlineLvl w:val="3"/>
    </w:pPr>
    <w:rPr>
      <w:rFonts w:eastAsiaTheme="majorEastAsia" w:cstheme="majorBidi"/>
      <w:bCs/>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C79D0"/>
    <w:pPr>
      <w:spacing w:after="300" w:line="240" w:lineRule="auto"/>
      <w:ind w:left="0" w:firstLine="0"/>
      <w:contextualSpacing/>
    </w:pPr>
    <w:rPr>
      <w:rFonts w:eastAsiaTheme="majorEastAsia" w:cstheme="majorBidi"/>
      <w:b/>
      <w:color w:val="000000" w:themeColor="text1"/>
      <w:spacing w:val="5"/>
      <w:kern w:val="28"/>
      <w:sz w:val="36"/>
      <w:szCs w:val="52"/>
    </w:rPr>
  </w:style>
  <w:style w:type="character" w:customStyle="1" w:styleId="TitleChar">
    <w:name w:val="Title Char"/>
    <w:basedOn w:val="DefaultParagraphFont"/>
    <w:link w:val="Title"/>
    <w:uiPriority w:val="10"/>
    <w:rsid w:val="006C79D0"/>
    <w:rPr>
      <w:rFonts w:eastAsiaTheme="majorEastAsia" w:cstheme="majorBidi"/>
      <w:b/>
      <w:color w:val="000000" w:themeColor="text1"/>
      <w:spacing w:val="5"/>
      <w:kern w:val="28"/>
      <w:sz w:val="36"/>
      <w:szCs w:val="52"/>
    </w:rPr>
  </w:style>
  <w:style w:type="character" w:customStyle="1" w:styleId="Heading1Char">
    <w:name w:val="Heading 1 Char"/>
    <w:basedOn w:val="DefaultParagraphFont"/>
    <w:link w:val="Heading1"/>
    <w:uiPriority w:val="9"/>
    <w:rsid w:val="00F67266"/>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F67266"/>
    <w:rPr>
      <w:rFonts w:eastAsiaTheme="majorEastAsia" w:cstheme="majorBidi"/>
      <w:b/>
      <w:bCs/>
      <w:i/>
      <w:color w:val="000000" w:themeColor="text1"/>
      <w:sz w:val="28"/>
      <w:szCs w:val="26"/>
    </w:rPr>
  </w:style>
  <w:style w:type="character" w:customStyle="1" w:styleId="Heading3Char">
    <w:name w:val="Heading 3 Char"/>
    <w:basedOn w:val="DefaultParagraphFont"/>
    <w:link w:val="Heading3"/>
    <w:uiPriority w:val="9"/>
    <w:rsid w:val="00CB5F4D"/>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6C79D0"/>
    <w:rPr>
      <w:rFonts w:eastAsiaTheme="majorEastAsia" w:cstheme="majorBidi"/>
      <w:bCs/>
      <w:iCs/>
      <w:color w:val="000000" w:themeColor="text1"/>
    </w:rPr>
  </w:style>
  <w:style w:type="numbering" w:customStyle="1" w:styleId="Springer">
    <w:name w:val="Springer"/>
    <w:uiPriority w:val="99"/>
    <w:rsid w:val="00652306"/>
    <w:pPr>
      <w:numPr>
        <w:numId w:val="4"/>
      </w:numPr>
    </w:pPr>
  </w:style>
  <w:style w:type="paragraph" w:styleId="Header">
    <w:name w:val="header"/>
    <w:basedOn w:val="Normal"/>
    <w:link w:val="HeaderChar"/>
    <w:uiPriority w:val="99"/>
    <w:unhideWhenUsed/>
    <w:rsid w:val="005C01A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C01A0"/>
    <w:rPr>
      <w:lang w:val="en-GB"/>
    </w:rPr>
  </w:style>
  <w:style w:type="paragraph" w:styleId="Footer">
    <w:name w:val="footer"/>
    <w:basedOn w:val="Normal"/>
    <w:link w:val="FooterChar"/>
    <w:uiPriority w:val="99"/>
    <w:unhideWhenUsed/>
    <w:rsid w:val="005C01A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C01A0"/>
    <w:rPr>
      <w:lang w:val="en-GB"/>
    </w:rPr>
  </w:style>
  <w:style w:type="character" w:styleId="Hyperlink">
    <w:name w:val="Hyperlink"/>
    <w:basedOn w:val="DefaultParagraphFont"/>
    <w:uiPriority w:val="99"/>
    <w:unhideWhenUsed/>
    <w:rsid w:val="007F52DE"/>
    <w:rPr>
      <w:color w:val="0000FF" w:themeColor="hyperlink"/>
      <w:u w:val="single"/>
    </w:rPr>
  </w:style>
  <w:style w:type="paragraph" w:styleId="BalloonText">
    <w:name w:val="Balloon Text"/>
    <w:basedOn w:val="Normal"/>
    <w:link w:val="BalloonTextChar"/>
    <w:uiPriority w:val="99"/>
    <w:semiHidden/>
    <w:unhideWhenUsed/>
    <w:rsid w:val="00151A4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A4E"/>
    <w:rPr>
      <w:rFonts w:ascii="Tahoma" w:hAnsi="Tahoma" w:cs="Tahoma"/>
      <w:sz w:val="16"/>
      <w:szCs w:val="16"/>
      <w:lang w:val="en-GB"/>
    </w:rPr>
  </w:style>
  <w:style w:type="table" w:styleId="TableGrid">
    <w:name w:val="Table Grid"/>
    <w:basedOn w:val="TableNormal"/>
    <w:uiPriority w:val="59"/>
    <w:rsid w:val="00DB26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6A51A6"/>
    <w:pPr>
      <w:spacing w:line="240" w:lineRule="auto"/>
      <w:ind w:left="0" w:firstLine="0"/>
    </w:pPr>
    <w:rPr>
      <w:rFonts w:eastAsia="Times New Roman"/>
      <w:lang w:val="en-US"/>
    </w:rPr>
  </w:style>
  <w:style w:type="character" w:styleId="FollowedHyperlink">
    <w:name w:val="FollowedHyperlink"/>
    <w:basedOn w:val="DefaultParagraphFont"/>
    <w:uiPriority w:val="99"/>
    <w:semiHidden/>
    <w:unhideWhenUsed/>
    <w:rsid w:val="006A51A6"/>
    <w:rPr>
      <w:color w:val="800080"/>
      <w:u w:val="single"/>
    </w:rPr>
  </w:style>
  <w:style w:type="character" w:customStyle="1" w:styleId="mw-headline">
    <w:name w:val="mw-headline"/>
    <w:basedOn w:val="DefaultParagraphFont"/>
    <w:rsid w:val="006A51A6"/>
  </w:style>
  <w:style w:type="character" w:customStyle="1" w:styleId="mw-editsection">
    <w:name w:val="mw-editsection"/>
    <w:basedOn w:val="DefaultParagraphFont"/>
    <w:rsid w:val="006A51A6"/>
  </w:style>
  <w:style w:type="character" w:customStyle="1" w:styleId="mw-editsection-bracket">
    <w:name w:val="mw-editsection-bracket"/>
    <w:basedOn w:val="DefaultParagraphFont"/>
    <w:rsid w:val="006A51A6"/>
  </w:style>
  <w:style w:type="character" w:styleId="HTMLCite">
    <w:name w:val="HTML Cite"/>
    <w:basedOn w:val="DefaultParagraphFont"/>
    <w:uiPriority w:val="99"/>
    <w:semiHidden/>
    <w:unhideWhenUsed/>
    <w:rsid w:val="006A51A6"/>
    <w:rPr>
      <w:i/>
      <w:iCs/>
    </w:rPr>
  </w:style>
  <w:style w:type="character" w:customStyle="1" w:styleId="metadata">
    <w:name w:val="metadata"/>
    <w:basedOn w:val="DefaultParagraphFont"/>
    <w:rsid w:val="006A51A6"/>
  </w:style>
  <w:style w:type="character" w:customStyle="1" w:styleId="date-container">
    <w:name w:val="date-container"/>
    <w:basedOn w:val="DefaultParagraphFont"/>
    <w:rsid w:val="006A51A6"/>
  </w:style>
  <w:style w:type="character" w:customStyle="1" w:styleId="Date1">
    <w:name w:val="Date1"/>
    <w:basedOn w:val="DefaultParagraphFont"/>
    <w:rsid w:val="006A51A6"/>
  </w:style>
  <w:style w:type="character" w:customStyle="1" w:styleId="vanchor">
    <w:name w:val="vanchor"/>
    <w:basedOn w:val="DefaultParagraphFont"/>
    <w:rsid w:val="006A51A6"/>
  </w:style>
  <w:style w:type="character" w:customStyle="1" w:styleId="vanchor-text">
    <w:name w:val="vanchor-text"/>
    <w:basedOn w:val="DefaultParagraphFont"/>
    <w:rsid w:val="006A51A6"/>
  </w:style>
  <w:style w:type="character" w:customStyle="1" w:styleId="mw-cite-backlink">
    <w:name w:val="mw-cite-backlink"/>
    <w:basedOn w:val="DefaultParagraphFont"/>
    <w:rsid w:val="006A51A6"/>
  </w:style>
  <w:style w:type="character" w:customStyle="1" w:styleId="cite-accessibility-label">
    <w:name w:val="cite-accessibility-label"/>
    <w:basedOn w:val="DefaultParagraphFont"/>
    <w:rsid w:val="006A51A6"/>
  </w:style>
  <w:style w:type="character" w:customStyle="1" w:styleId="reference-text">
    <w:name w:val="reference-text"/>
    <w:basedOn w:val="DefaultParagraphFont"/>
    <w:rsid w:val="006A51A6"/>
  </w:style>
  <w:style w:type="character" w:customStyle="1" w:styleId="reference-accessdate">
    <w:name w:val="reference-accessdate"/>
    <w:basedOn w:val="DefaultParagraphFont"/>
    <w:rsid w:val="006A51A6"/>
  </w:style>
  <w:style w:type="character" w:customStyle="1" w:styleId="nowrap">
    <w:name w:val="nowrap"/>
    <w:basedOn w:val="DefaultParagraphFont"/>
    <w:rsid w:val="006A51A6"/>
  </w:style>
  <w:style w:type="character" w:customStyle="1" w:styleId="z3988">
    <w:name w:val="z3988"/>
    <w:basedOn w:val="DefaultParagraphFont"/>
    <w:rsid w:val="006A51A6"/>
  </w:style>
  <w:style w:type="character" w:customStyle="1" w:styleId="cs1-format">
    <w:name w:val="cs1-format"/>
    <w:basedOn w:val="DefaultParagraphFont"/>
    <w:rsid w:val="006A51A6"/>
  </w:style>
  <w:style w:type="character" w:customStyle="1" w:styleId="cs1-lock-registration">
    <w:name w:val="cs1-lock-registration"/>
    <w:basedOn w:val="DefaultParagraphFont"/>
    <w:rsid w:val="006A51A6"/>
  </w:style>
  <w:style w:type="paragraph" w:styleId="ListParagraph">
    <w:name w:val="List Paragraph"/>
    <w:basedOn w:val="Normal"/>
    <w:uiPriority w:val="34"/>
    <w:qFormat/>
    <w:rsid w:val="00D12AEF"/>
    <w:pPr>
      <w:ind w:left="720"/>
      <w:contextualSpacing/>
    </w:pPr>
  </w:style>
  <w:style w:type="character" w:styleId="Emphasis">
    <w:name w:val="Emphasis"/>
    <w:basedOn w:val="DefaultParagraphFont"/>
    <w:uiPriority w:val="20"/>
    <w:qFormat/>
    <w:rsid w:val="00212B4A"/>
    <w:rPr>
      <w:i/>
      <w:iCs/>
    </w:rPr>
  </w:style>
  <w:style w:type="character" w:styleId="Strong">
    <w:name w:val="Strong"/>
    <w:basedOn w:val="DefaultParagraphFont"/>
    <w:uiPriority w:val="22"/>
    <w:qFormat/>
    <w:rsid w:val="00212B4A"/>
    <w:rPr>
      <w:b/>
      <w:bCs/>
    </w:rPr>
  </w:style>
  <w:style w:type="paragraph" w:styleId="NoSpacing">
    <w:name w:val="No Spacing"/>
    <w:uiPriority w:val="1"/>
    <w:qFormat/>
    <w:rsid w:val="00212B4A"/>
    <w:pPr>
      <w:spacing w:before="0" w:after="0" w:line="240" w:lineRule="auto"/>
      <w:ind w:left="0" w:firstLine="0"/>
    </w:pPr>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110">
      <w:bodyDiv w:val="1"/>
      <w:marLeft w:val="0"/>
      <w:marRight w:val="0"/>
      <w:marTop w:val="0"/>
      <w:marBottom w:val="0"/>
      <w:divBdr>
        <w:top w:val="none" w:sz="0" w:space="0" w:color="auto"/>
        <w:left w:val="none" w:sz="0" w:space="0" w:color="auto"/>
        <w:bottom w:val="none" w:sz="0" w:space="0" w:color="auto"/>
        <w:right w:val="none" w:sz="0" w:space="0" w:color="auto"/>
      </w:divBdr>
    </w:div>
    <w:div w:id="228423385">
      <w:bodyDiv w:val="1"/>
      <w:marLeft w:val="0"/>
      <w:marRight w:val="0"/>
      <w:marTop w:val="0"/>
      <w:marBottom w:val="0"/>
      <w:divBdr>
        <w:top w:val="none" w:sz="0" w:space="0" w:color="auto"/>
        <w:left w:val="none" w:sz="0" w:space="0" w:color="auto"/>
        <w:bottom w:val="none" w:sz="0" w:space="0" w:color="auto"/>
        <w:right w:val="none" w:sz="0" w:space="0" w:color="auto"/>
      </w:divBdr>
    </w:div>
    <w:div w:id="356582296">
      <w:bodyDiv w:val="1"/>
      <w:marLeft w:val="0"/>
      <w:marRight w:val="0"/>
      <w:marTop w:val="0"/>
      <w:marBottom w:val="0"/>
      <w:divBdr>
        <w:top w:val="none" w:sz="0" w:space="0" w:color="auto"/>
        <w:left w:val="none" w:sz="0" w:space="0" w:color="auto"/>
        <w:bottom w:val="none" w:sz="0" w:space="0" w:color="auto"/>
        <w:right w:val="none" w:sz="0" w:space="0" w:color="auto"/>
      </w:divBdr>
    </w:div>
    <w:div w:id="641540452">
      <w:bodyDiv w:val="1"/>
      <w:marLeft w:val="0"/>
      <w:marRight w:val="0"/>
      <w:marTop w:val="0"/>
      <w:marBottom w:val="0"/>
      <w:divBdr>
        <w:top w:val="none" w:sz="0" w:space="0" w:color="auto"/>
        <w:left w:val="none" w:sz="0" w:space="0" w:color="auto"/>
        <w:bottom w:val="none" w:sz="0" w:space="0" w:color="auto"/>
        <w:right w:val="none" w:sz="0" w:space="0" w:color="auto"/>
      </w:divBdr>
    </w:div>
    <w:div w:id="642390720">
      <w:bodyDiv w:val="1"/>
      <w:marLeft w:val="0"/>
      <w:marRight w:val="0"/>
      <w:marTop w:val="0"/>
      <w:marBottom w:val="0"/>
      <w:divBdr>
        <w:top w:val="none" w:sz="0" w:space="0" w:color="auto"/>
        <w:left w:val="none" w:sz="0" w:space="0" w:color="auto"/>
        <w:bottom w:val="none" w:sz="0" w:space="0" w:color="auto"/>
        <w:right w:val="none" w:sz="0" w:space="0" w:color="auto"/>
      </w:divBdr>
      <w:divsChild>
        <w:div w:id="462817552">
          <w:marLeft w:val="0"/>
          <w:marRight w:val="0"/>
          <w:marTop w:val="15"/>
          <w:marBottom w:val="0"/>
          <w:divBdr>
            <w:top w:val="single" w:sz="48" w:space="0" w:color="auto"/>
            <w:left w:val="single" w:sz="48" w:space="0" w:color="auto"/>
            <w:bottom w:val="single" w:sz="48" w:space="0" w:color="auto"/>
            <w:right w:val="single" w:sz="48" w:space="0" w:color="auto"/>
          </w:divBdr>
          <w:divsChild>
            <w:div w:id="1085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9713">
      <w:bodyDiv w:val="1"/>
      <w:marLeft w:val="0"/>
      <w:marRight w:val="0"/>
      <w:marTop w:val="0"/>
      <w:marBottom w:val="0"/>
      <w:divBdr>
        <w:top w:val="none" w:sz="0" w:space="0" w:color="auto"/>
        <w:left w:val="none" w:sz="0" w:space="0" w:color="auto"/>
        <w:bottom w:val="none" w:sz="0" w:space="0" w:color="auto"/>
        <w:right w:val="none" w:sz="0" w:space="0" w:color="auto"/>
      </w:divBdr>
      <w:divsChild>
        <w:div w:id="722488182">
          <w:marLeft w:val="0"/>
          <w:marRight w:val="0"/>
          <w:marTop w:val="0"/>
          <w:marBottom w:val="600"/>
          <w:divBdr>
            <w:top w:val="none" w:sz="0" w:space="0" w:color="auto"/>
            <w:left w:val="none" w:sz="0" w:space="0" w:color="auto"/>
            <w:bottom w:val="none" w:sz="0" w:space="0" w:color="auto"/>
            <w:right w:val="none" w:sz="0" w:space="0" w:color="auto"/>
          </w:divBdr>
          <w:divsChild>
            <w:div w:id="1173497039">
              <w:marLeft w:val="0"/>
              <w:marRight w:val="0"/>
              <w:marTop w:val="0"/>
              <w:marBottom w:val="0"/>
              <w:divBdr>
                <w:top w:val="none" w:sz="0" w:space="0" w:color="auto"/>
                <w:left w:val="none" w:sz="0" w:space="0" w:color="auto"/>
                <w:bottom w:val="none" w:sz="0" w:space="0" w:color="auto"/>
                <w:right w:val="none" w:sz="0" w:space="0" w:color="auto"/>
              </w:divBdr>
              <w:divsChild>
                <w:div w:id="875117254">
                  <w:marLeft w:val="0"/>
                  <w:marRight w:val="0"/>
                  <w:marTop w:val="0"/>
                  <w:marBottom w:val="0"/>
                  <w:divBdr>
                    <w:top w:val="none" w:sz="0" w:space="0" w:color="auto"/>
                    <w:left w:val="none" w:sz="0" w:space="0" w:color="auto"/>
                    <w:bottom w:val="none" w:sz="0" w:space="0" w:color="auto"/>
                    <w:right w:val="none" w:sz="0" w:space="0" w:color="auto"/>
                  </w:divBdr>
                  <w:divsChild>
                    <w:div w:id="18704075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13034909">
          <w:marLeft w:val="0"/>
          <w:marRight w:val="0"/>
          <w:marTop w:val="0"/>
          <w:marBottom w:val="0"/>
          <w:divBdr>
            <w:top w:val="none" w:sz="0" w:space="0" w:color="auto"/>
            <w:left w:val="none" w:sz="0" w:space="0" w:color="auto"/>
            <w:bottom w:val="none" w:sz="0" w:space="0" w:color="auto"/>
            <w:right w:val="none" w:sz="0" w:space="0" w:color="auto"/>
          </w:divBdr>
          <w:divsChild>
            <w:div w:id="770130026">
              <w:marLeft w:val="0"/>
              <w:marRight w:val="0"/>
              <w:marTop w:val="0"/>
              <w:marBottom w:val="0"/>
              <w:divBdr>
                <w:top w:val="none" w:sz="0" w:space="0" w:color="auto"/>
                <w:left w:val="none" w:sz="0" w:space="0" w:color="auto"/>
                <w:bottom w:val="none" w:sz="0" w:space="0" w:color="auto"/>
                <w:right w:val="none" w:sz="0" w:space="0" w:color="auto"/>
              </w:divBdr>
              <w:divsChild>
                <w:div w:id="1979528510">
                  <w:marLeft w:val="0"/>
                  <w:marRight w:val="0"/>
                  <w:marTop w:val="0"/>
                  <w:marBottom w:val="600"/>
                  <w:divBdr>
                    <w:top w:val="none" w:sz="0" w:space="0" w:color="auto"/>
                    <w:left w:val="none" w:sz="0" w:space="0" w:color="auto"/>
                    <w:bottom w:val="none" w:sz="0" w:space="0" w:color="auto"/>
                    <w:right w:val="none" w:sz="0" w:space="0" w:color="auto"/>
                  </w:divBdr>
                </w:div>
              </w:divsChild>
            </w:div>
            <w:div w:id="1068839723">
              <w:marLeft w:val="0"/>
              <w:marRight w:val="0"/>
              <w:marTop w:val="360"/>
              <w:marBottom w:val="360"/>
              <w:divBdr>
                <w:top w:val="single" w:sz="6" w:space="6" w:color="D5D5D5"/>
                <w:left w:val="none" w:sz="0" w:space="0" w:color="auto"/>
                <w:bottom w:val="single" w:sz="6" w:space="6" w:color="D5D5D5"/>
                <w:right w:val="none" w:sz="0" w:space="0" w:color="auto"/>
              </w:divBdr>
            </w:div>
            <w:div w:id="1830438845">
              <w:marLeft w:val="0"/>
              <w:marRight w:val="0"/>
              <w:marTop w:val="0"/>
              <w:marBottom w:val="0"/>
              <w:divBdr>
                <w:top w:val="none" w:sz="0" w:space="0" w:color="auto"/>
                <w:left w:val="none" w:sz="0" w:space="0" w:color="auto"/>
                <w:bottom w:val="none" w:sz="0" w:space="0" w:color="auto"/>
                <w:right w:val="none" w:sz="0" w:space="0" w:color="auto"/>
              </w:divBdr>
              <w:divsChild>
                <w:div w:id="427430699">
                  <w:marLeft w:val="0"/>
                  <w:marRight w:val="0"/>
                  <w:marTop w:val="0"/>
                  <w:marBottom w:val="0"/>
                  <w:divBdr>
                    <w:top w:val="none" w:sz="0" w:space="0" w:color="auto"/>
                    <w:left w:val="none" w:sz="0" w:space="0" w:color="auto"/>
                    <w:bottom w:val="none" w:sz="0" w:space="0" w:color="auto"/>
                    <w:right w:val="none" w:sz="0" w:space="0" w:color="auto"/>
                  </w:divBdr>
                  <w:divsChild>
                    <w:div w:id="437726101">
                      <w:marLeft w:val="0"/>
                      <w:marRight w:val="0"/>
                      <w:marTop w:val="0"/>
                      <w:marBottom w:val="600"/>
                      <w:divBdr>
                        <w:top w:val="none" w:sz="0" w:space="0" w:color="auto"/>
                        <w:left w:val="none" w:sz="0" w:space="0" w:color="auto"/>
                        <w:bottom w:val="none" w:sz="0" w:space="0" w:color="auto"/>
                        <w:right w:val="none" w:sz="0" w:space="0" w:color="auto"/>
                      </w:divBdr>
                      <w:divsChild>
                        <w:div w:id="582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238341">
      <w:bodyDiv w:val="1"/>
      <w:marLeft w:val="0"/>
      <w:marRight w:val="0"/>
      <w:marTop w:val="0"/>
      <w:marBottom w:val="0"/>
      <w:divBdr>
        <w:top w:val="none" w:sz="0" w:space="0" w:color="auto"/>
        <w:left w:val="none" w:sz="0" w:space="0" w:color="auto"/>
        <w:bottom w:val="none" w:sz="0" w:space="0" w:color="auto"/>
        <w:right w:val="none" w:sz="0" w:space="0" w:color="auto"/>
      </w:divBdr>
    </w:div>
    <w:div w:id="1534657681">
      <w:bodyDiv w:val="1"/>
      <w:marLeft w:val="0"/>
      <w:marRight w:val="0"/>
      <w:marTop w:val="0"/>
      <w:marBottom w:val="0"/>
      <w:divBdr>
        <w:top w:val="none" w:sz="0" w:space="0" w:color="auto"/>
        <w:left w:val="none" w:sz="0" w:space="0" w:color="auto"/>
        <w:bottom w:val="none" w:sz="0" w:space="0" w:color="auto"/>
        <w:right w:val="none" w:sz="0" w:space="0" w:color="auto"/>
      </w:divBdr>
      <w:divsChild>
        <w:div w:id="33583776">
          <w:blockQuote w:val="1"/>
          <w:marLeft w:val="0"/>
          <w:marRight w:val="0"/>
          <w:marTop w:val="240"/>
          <w:marBottom w:val="240"/>
          <w:divBdr>
            <w:top w:val="none" w:sz="0" w:space="0" w:color="auto"/>
            <w:left w:val="none" w:sz="0" w:space="0" w:color="auto"/>
            <w:bottom w:val="none" w:sz="0" w:space="0" w:color="auto"/>
            <w:right w:val="none" w:sz="0" w:space="0" w:color="auto"/>
          </w:divBdr>
        </w:div>
        <w:div w:id="1168599368">
          <w:marLeft w:val="0"/>
          <w:marRight w:val="0"/>
          <w:marTop w:val="0"/>
          <w:marBottom w:val="120"/>
          <w:divBdr>
            <w:top w:val="none" w:sz="0" w:space="0" w:color="auto"/>
            <w:left w:val="none" w:sz="0" w:space="0" w:color="auto"/>
            <w:bottom w:val="none" w:sz="0" w:space="0" w:color="auto"/>
            <w:right w:val="none" w:sz="0" w:space="0" w:color="auto"/>
          </w:divBdr>
        </w:div>
        <w:div w:id="685133313">
          <w:marLeft w:val="0"/>
          <w:marRight w:val="0"/>
          <w:marTop w:val="0"/>
          <w:marBottom w:val="120"/>
          <w:divBdr>
            <w:top w:val="none" w:sz="0" w:space="0" w:color="auto"/>
            <w:left w:val="none" w:sz="0" w:space="0" w:color="auto"/>
            <w:bottom w:val="none" w:sz="0" w:space="0" w:color="auto"/>
            <w:right w:val="none" w:sz="0" w:space="0" w:color="auto"/>
          </w:divBdr>
        </w:div>
        <w:div w:id="521089887">
          <w:marLeft w:val="0"/>
          <w:marRight w:val="0"/>
          <w:marTop w:val="0"/>
          <w:marBottom w:val="120"/>
          <w:divBdr>
            <w:top w:val="none" w:sz="0" w:space="0" w:color="auto"/>
            <w:left w:val="none" w:sz="0" w:space="0" w:color="auto"/>
            <w:bottom w:val="none" w:sz="0" w:space="0" w:color="auto"/>
            <w:right w:val="none" w:sz="0" w:space="0" w:color="auto"/>
          </w:divBdr>
        </w:div>
        <w:div w:id="1219240407">
          <w:marLeft w:val="0"/>
          <w:marRight w:val="0"/>
          <w:marTop w:val="0"/>
          <w:marBottom w:val="120"/>
          <w:divBdr>
            <w:top w:val="none" w:sz="0" w:space="0" w:color="auto"/>
            <w:left w:val="none" w:sz="0" w:space="0" w:color="auto"/>
            <w:bottom w:val="none" w:sz="0" w:space="0" w:color="auto"/>
            <w:right w:val="none" w:sz="0" w:space="0" w:color="auto"/>
          </w:divBdr>
        </w:div>
        <w:div w:id="1362127692">
          <w:marLeft w:val="0"/>
          <w:marRight w:val="0"/>
          <w:marTop w:val="0"/>
          <w:marBottom w:val="120"/>
          <w:divBdr>
            <w:top w:val="none" w:sz="0" w:space="0" w:color="auto"/>
            <w:left w:val="none" w:sz="0" w:space="0" w:color="auto"/>
            <w:bottom w:val="none" w:sz="0" w:space="0" w:color="auto"/>
            <w:right w:val="none" w:sz="0" w:space="0" w:color="auto"/>
          </w:divBdr>
        </w:div>
        <w:div w:id="2027637631">
          <w:marLeft w:val="0"/>
          <w:marRight w:val="0"/>
          <w:marTop w:val="0"/>
          <w:marBottom w:val="120"/>
          <w:divBdr>
            <w:top w:val="none" w:sz="0" w:space="0" w:color="auto"/>
            <w:left w:val="none" w:sz="0" w:space="0" w:color="auto"/>
            <w:bottom w:val="none" w:sz="0" w:space="0" w:color="auto"/>
            <w:right w:val="none" w:sz="0" w:space="0" w:color="auto"/>
          </w:divBdr>
        </w:div>
        <w:div w:id="1515000747">
          <w:marLeft w:val="0"/>
          <w:marRight w:val="0"/>
          <w:marTop w:val="0"/>
          <w:marBottom w:val="0"/>
          <w:divBdr>
            <w:top w:val="none" w:sz="0" w:space="0" w:color="auto"/>
            <w:left w:val="none" w:sz="0" w:space="0" w:color="auto"/>
            <w:bottom w:val="none" w:sz="0" w:space="0" w:color="auto"/>
            <w:right w:val="none" w:sz="0" w:space="0" w:color="auto"/>
          </w:divBdr>
        </w:div>
        <w:div w:id="81029905">
          <w:marLeft w:val="0"/>
          <w:marRight w:val="0"/>
          <w:marTop w:val="72"/>
          <w:marBottom w:val="0"/>
          <w:divBdr>
            <w:top w:val="none" w:sz="0" w:space="0" w:color="auto"/>
            <w:left w:val="none" w:sz="0" w:space="0" w:color="auto"/>
            <w:bottom w:val="none" w:sz="0" w:space="0" w:color="auto"/>
            <w:right w:val="none" w:sz="0" w:space="0" w:color="auto"/>
          </w:divBdr>
        </w:div>
        <w:div w:id="1597522751">
          <w:marLeft w:val="0"/>
          <w:marRight w:val="0"/>
          <w:marTop w:val="72"/>
          <w:marBottom w:val="120"/>
          <w:divBdr>
            <w:top w:val="none" w:sz="0" w:space="0" w:color="auto"/>
            <w:left w:val="none" w:sz="0" w:space="0" w:color="auto"/>
            <w:bottom w:val="none" w:sz="0" w:space="0" w:color="auto"/>
            <w:right w:val="none" w:sz="0" w:space="0" w:color="auto"/>
          </w:divBdr>
        </w:div>
      </w:divsChild>
    </w:div>
    <w:div w:id="17726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1944366908977225" TargetMode="External"/><Relationship Id="rId18" Type="http://schemas.openxmlformats.org/officeDocument/2006/relationships/hyperlink" Target="https://www.civicengagementnetwork.org/reports/2023-effective-engagement" TargetMode="External"/><Relationship Id="rId26" Type="http://schemas.openxmlformats.org/officeDocument/2006/relationships/hyperlink" Target="https://doi.org/10.1111/gove.12667" TargetMode="External"/><Relationship Id="rId39" Type="http://schemas.openxmlformats.org/officeDocument/2006/relationships/hyperlink" Target="https://doi.org/10.1177/13563890221004011" TargetMode="External"/><Relationship Id="rId3" Type="http://schemas.openxmlformats.org/officeDocument/2006/relationships/styles" Target="styles.xml"/><Relationship Id="rId21" Type="http://schemas.openxmlformats.org/officeDocument/2006/relationships/hyperlink" Target="https://doi.org/10.1017/S1537592719002722" TargetMode="External"/><Relationship Id="rId34" Type="http://schemas.openxmlformats.org/officeDocument/2006/relationships/hyperlink" Target="https://doi.org/10.1007/s10551-020-04576-1" TargetMode="External"/><Relationship Id="rId42" Type="http://schemas.openxmlformats.org/officeDocument/2006/relationships/hyperlink" Target="https://doi.org/10.1002/eet.1973" TargetMode="External"/><Relationship Id="rId47" Type="http://schemas.openxmlformats.org/officeDocument/2006/relationships/hyperlink" Target="https://doi.org/10.1016/j.ijinfomgt.2022.102449"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civicengagementnetwork.org/reports/2022-community-engagement" TargetMode="External"/><Relationship Id="rId25" Type="http://schemas.openxmlformats.org/officeDocument/2006/relationships/hyperlink" Target="https://doi.org/10.1111/puar.13656" TargetMode="External"/><Relationship Id="rId33" Type="http://schemas.openxmlformats.org/officeDocument/2006/relationships/hyperlink" Target="https://doi.org/10.1016/j.worlddev.2021.105662" TargetMode="External"/><Relationship Id="rId38" Type="http://schemas.openxmlformats.org/officeDocument/2006/relationships/hyperlink" Target="https://doi.org/10.1177/09520767211058431" TargetMode="External"/><Relationship Id="rId46" Type="http://schemas.openxmlformats.org/officeDocument/2006/relationships/hyperlink" Target="https://doi.org/10.1177/10982140221093758" TargetMode="External"/><Relationship Id="rId2" Type="http://schemas.openxmlformats.org/officeDocument/2006/relationships/numbering" Target="numbering.xml"/><Relationship Id="rId16" Type="http://schemas.openxmlformats.org/officeDocument/2006/relationships/hyperlink" Target="https://doi.org/10.1002/bdm.2125" TargetMode="External"/><Relationship Id="rId20" Type="http://schemas.openxmlformats.org/officeDocument/2006/relationships/hyperlink" Target="https://doi.org/10.1111/ppr.12489" TargetMode="External"/><Relationship Id="rId29" Type="http://schemas.openxmlformats.org/officeDocument/2006/relationships/hyperlink" Target="https://doi.org/10.1111/psj.12451" TargetMode="External"/><Relationship Id="rId41" Type="http://schemas.openxmlformats.org/officeDocument/2006/relationships/hyperlink" Target="https://doi.org/10.2139/ssrn.37919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sa/4.0/" TargetMode="External"/><Relationship Id="rId24" Type="http://schemas.openxmlformats.org/officeDocument/2006/relationships/hyperlink" Target="https://doi.org/10.1002/ajcp.12657" TargetMode="External"/><Relationship Id="rId32" Type="http://schemas.openxmlformats.org/officeDocument/2006/relationships/hyperlink" Target="https://doi.org/10.1111/puar.13478" TargetMode="External"/><Relationship Id="rId37" Type="http://schemas.openxmlformats.org/officeDocument/2006/relationships/hyperlink" Target="https://doi.org/10.1145/2512712.2512714" TargetMode="External"/><Relationship Id="rId40" Type="http://schemas.openxmlformats.org/officeDocument/2006/relationships/hyperlink" Target="https://doi.org/10.1111/psj.12475" TargetMode="External"/><Relationship Id="rId45" Type="http://schemas.openxmlformats.org/officeDocument/2006/relationships/hyperlink" Target="https://doi.org/10.1177/26324313231103567"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02/pam.22703" TargetMode="External"/><Relationship Id="rId23" Type="http://schemas.openxmlformats.org/officeDocument/2006/relationships/hyperlink" Target="https://doi.org/10.1111/puar.13456" TargetMode="External"/><Relationship Id="rId28" Type="http://schemas.openxmlformats.org/officeDocument/2006/relationships/hyperlink" Target="https://doi.org/10.1111/padm.12823" TargetMode="External"/><Relationship Id="rId36" Type="http://schemas.openxmlformats.org/officeDocument/2006/relationships/hyperlink" Target="https://doi.org/10.1016/j.giq.2021.101558" TargetMode="External"/><Relationship Id="rId49" Type="http://schemas.openxmlformats.org/officeDocument/2006/relationships/header" Target="header2.xml"/><Relationship Id="rId10" Type="http://schemas.openxmlformats.org/officeDocument/2006/relationships/hyperlink" Target="https://zkdx.ch/" TargetMode="External"/><Relationship Id="rId19" Type="http://schemas.openxmlformats.org/officeDocument/2006/relationships/hyperlink" Target="https://doi.org/10.1080/14719037.2022.2058741" TargetMode="External"/><Relationship Id="rId31" Type="http://schemas.openxmlformats.org/officeDocument/2006/relationships/hyperlink" Target="https://doi.org/10.1016/j.jds.2023.03.005" TargetMode="External"/><Relationship Id="rId44" Type="http://schemas.openxmlformats.org/officeDocument/2006/relationships/hyperlink" Target="https://doi.org/10.1007/s11077-023-09658-x"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1080/07352166.2023.2154783" TargetMode="External"/><Relationship Id="rId22" Type="http://schemas.openxmlformats.org/officeDocument/2006/relationships/hyperlink" Target="https://doi.org/10.1093/jopart/muab030" TargetMode="External"/><Relationship Id="rId27" Type="http://schemas.openxmlformats.org/officeDocument/2006/relationships/hyperlink" Target="https://doi.org/10.1016/j.evalprogplan.2023.101963" TargetMode="External"/><Relationship Id="rId30" Type="http://schemas.openxmlformats.org/officeDocument/2006/relationships/hyperlink" Target="https://doi.org/10.1080/01900692.2023.2138742" TargetMode="External"/><Relationship Id="rId35" Type="http://schemas.openxmlformats.org/officeDocument/2006/relationships/hyperlink" Target="https://doi.org/10.1111/psj.12450" TargetMode="External"/><Relationship Id="rId43" Type="http://schemas.openxmlformats.org/officeDocument/2006/relationships/hyperlink" Target="https://doi.org/10.1002/pam.22499"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zkdx.c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Alphabetical.XSL" StyleName="IEEE - Alphabetical Order*"/>
</file>

<file path=customXml/itemProps1.xml><?xml version="1.0" encoding="utf-8"?>
<ds:datastoreItem xmlns:ds="http://schemas.openxmlformats.org/officeDocument/2006/customXml" ds:itemID="{808FE794-9B1D-4A49-BF3D-97AA0166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Pages>
  <Words>5867</Words>
  <Characters>33447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ZKDX</dc:creator>
  <cp:lastModifiedBy>Editor</cp:lastModifiedBy>
  <cp:revision>90</cp:revision>
  <cp:lastPrinted>2025-01-29T07:23:00Z</cp:lastPrinted>
  <dcterms:created xsi:type="dcterms:W3CDTF">2023-10-27T10:39:00Z</dcterms:created>
  <dcterms:modified xsi:type="dcterms:W3CDTF">2025-01-29T07:23:00Z</dcterms:modified>
</cp:coreProperties>
</file>